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0C45" w14:textId="77777777" w:rsidR="002E1A53" w:rsidRPr="00BE6750" w:rsidRDefault="00000000" w:rsidP="00BE6750">
      <w:pPr>
        <w:spacing w:before="120" w:after="120" w:line="312" w:lineRule="auto"/>
        <w:ind w:left="1" w:hanging="3"/>
        <w:jc w:val="center"/>
        <w:rPr>
          <w:rFonts w:ascii="Times New Roman" w:eastAsia="Times New Roman" w:hAnsi="Times New Roman" w:cs="Times New Roman"/>
          <w:sz w:val="26"/>
          <w:szCs w:val="26"/>
        </w:rPr>
      </w:pPr>
      <w:r w:rsidRPr="00BE6750">
        <w:rPr>
          <w:rFonts w:ascii="Times New Roman" w:eastAsia="Times New Roman" w:hAnsi="Times New Roman" w:cs="Times New Roman"/>
          <w:b/>
          <w:sz w:val="26"/>
          <w:szCs w:val="26"/>
        </w:rPr>
        <w:t>TRANG THÔNG TIN VỀ LUẬN ÁN</w:t>
      </w:r>
    </w:p>
    <w:p w14:paraId="76EE6C15" w14:textId="77777777" w:rsidR="002E1A53" w:rsidRPr="00BE6750" w:rsidRDefault="002E1A53" w:rsidP="00BE6750">
      <w:pPr>
        <w:spacing w:before="120" w:after="120" w:line="312" w:lineRule="auto"/>
        <w:ind w:left="1" w:hanging="3"/>
        <w:jc w:val="center"/>
        <w:rPr>
          <w:rFonts w:ascii="Times New Roman" w:eastAsia="Times New Roman" w:hAnsi="Times New Roman" w:cs="Times New Roman"/>
          <w:sz w:val="26"/>
          <w:szCs w:val="26"/>
        </w:rPr>
      </w:pPr>
    </w:p>
    <w:p w14:paraId="33B56A99" w14:textId="77777777" w:rsidR="002E1A53" w:rsidRPr="00C4737E" w:rsidRDefault="00000000" w:rsidP="00BE6750">
      <w:pPr>
        <w:pBdr>
          <w:top w:val="nil"/>
          <w:left w:val="nil"/>
          <w:bottom w:val="nil"/>
          <w:right w:val="nil"/>
          <w:between w:val="nil"/>
        </w:pBdr>
        <w:tabs>
          <w:tab w:val="center" w:pos="1701"/>
          <w:tab w:val="center" w:pos="6237"/>
          <w:tab w:val="left" w:pos="9360"/>
        </w:tabs>
        <w:spacing w:before="120" w:after="120" w:line="312" w:lineRule="auto"/>
        <w:ind w:leftChars="0" w:left="3" w:right="81" w:hanging="3"/>
        <w:jc w:val="both"/>
        <w:rPr>
          <w:rFonts w:ascii="Times New Roman" w:hAnsi="Times New Roman" w:cs="Times New Roman"/>
          <w:b/>
          <w:bCs/>
          <w:color w:val="000000"/>
          <w:sz w:val="26"/>
          <w:szCs w:val="26"/>
        </w:rPr>
      </w:pPr>
      <w:proofErr w:type="spellStart"/>
      <w:r w:rsidRPr="00BE6750">
        <w:rPr>
          <w:rFonts w:ascii="Times New Roman" w:eastAsia="Times New Roman" w:hAnsi="Times New Roman" w:cs="Times New Roman"/>
          <w:color w:val="000000"/>
          <w:sz w:val="26"/>
          <w:szCs w:val="26"/>
        </w:rPr>
        <w:t>Tên</w:t>
      </w:r>
      <w:proofErr w:type="spellEnd"/>
      <w:r w:rsidRPr="00BE6750">
        <w:rPr>
          <w:rFonts w:ascii="Times New Roman" w:eastAsia="Times New Roman" w:hAnsi="Times New Roman" w:cs="Times New Roman"/>
          <w:color w:val="000000"/>
          <w:sz w:val="26"/>
          <w:szCs w:val="26"/>
        </w:rPr>
        <w:t xml:space="preserve"> </w:t>
      </w:r>
      <w:proofErr w:type="spellStart"/>
      <w:r w:rsidRPr="00BE6750">
        <w:rPr>
          <w:rFonts w:ascii="Times New Roman" w:eastAsia="Times New Roman" w:hAnsi="Times New Roman" w:cs="Times New Roman"/>
          <w:color w:val="000000"/>
          <w:sz w:val="26"/>
          <w:szCs w:val="26"/>
        </w:rPr>
        <w:t>đề</w:t>
      </w:r>
      <w:proofErr w:type="spellEnd"/>
      <w:r w:rsidRPr="00BE6750">
        <w:rPr>
          <w:rFonts w:ascii="Times New Roman" w:eastAsia="Times New Roman" w:hAnsi="Times New Roman" w:cs="Times New Roman"/>
          <w:color w:val="000000"/>
          <w:sz w:val="26"/>
          <w:szCs w:val="26"/>
        </w:rPr>
        <w:t xml:space="preserve"> </w:t>
      </w:r>
      <w:proofErr w:type="spellStart"/>
      <w:r w:rsidRPr="00BE6750">
        <w:rPr>
          <w:rFonts w:ascii="Times New Roman" w:eastAsia="Times New Roman" w:hAnsi="Times New Roman" w:cs="Times New Roman"/>
          <w:color w:val="000000"/>
          <w:sz w:val="26"/>
          <w:szCs w:val="26"/>
        </w:rPr>
        <w:t>tài</w:t>
      </w:r>
      <w:proofErr w:type="spellEnd"/>
      <w:r w:rsidRPr="00BE6750">
        <w:rPr>
          <w:rFonts w:ascii="Times New Roman" w:eastAsia="Times New Roman" w:hAnsi="Times New Roman" w:cs="Times New Roman"/>
          <w:color w:val="000000"/>
          <w:sz w:val="26"/>
          <w:szCs w:val="26"/>
        </w:rPr>
        <w:t xml:space="preserve"> LATS: </w:t>
      </w:r>
      <w:proofErr w:type="spellStart"/>
      <w:r w:rsidR="005E3265" w:rsidRPr="00C4737E">
        <w:rPr>
          <w:rFonts w:ascii="Times New Roman" w:hAnsi="Times New Roman" w:cs="Times New Roman"/>
          <w:b/>
          <w:bCs/>
          <w:color w:val="000000"/>
          <w:sz w:val="26"/>
          <w:szCs w:val="26"/>
        </w:rPr>
        <w:t>Kỷ</w:t>
      </w:r>
      <w:proofErr w:type="spellEnd"/>
      <w:r w:rsidR="005E3265" w:rsidRPr="00C4737E">
        <w:rPr>
          <w:rFonts w:ascii="Times New Roman" w:hAnsi="Times New Roman" w:cs="Times New Roman"/>
          <w:b/>
          <w:bCs/>
          <w:color w:val="000000"/>
          <w:sz w:val="26"/>
          <w:szCs w:val="26"/>
          <w:lang w:val="vi-VN"/>
        </w:rPr>
        <w:t xml:space="preserve"> luật thị trường và hiệu quả ngân hàng ở khu vực Châu Á – Thái Bình Dương</w:t>
      </w:r>
      <w:r w:rsidR="005E3265" w:rsidRPr="00C4737E">
        <w:rPr>
          <w:rFonts w:ascii="Times New Roman" w:hAnsi="Times New Roman" w:cs="Times New Roman"/>
          <w:b/>
          <w:bCs/>
          <w:color w:val="000000"/>
          <w:sz w:val="26"/>
          <w:szCs w:val="26"/>
        </w:rPr>
        <w:tab/>
      </w:r>
    </w:p>
    <w:p w14:paraId="51C74AEB" w14:textId="70E3C573" w:rsidR="002E1A53" w:rsidRPr="00BE6750" w:rsidRDefault="00000000" w:rsidP="00BE6750">
      <w:pPr>
        <w:pBdr>
          <w:top w:val="nil"/>
          <w:left w:val="nil"/>
          <w:bottom w:val="nil"/>
          <w:right w:val="nil"/>
          <w:between w:val="nil"/>
        </w:pBdr>
        <w:tabs>
          <w:tab w:val="center" w:pos="1701"/>
          <w:tab w:val="left" w:pos="5954"/>
        </w:tabs>
        <w:spacing w:before="120" w:after="120" w:line="312" w:lineRule="auto"/>
        <w:ind w:leftChars="0" w:left="3" w:right="81" w:hanging="3"/>
        <w:jc w:val="both"/>
        <w:rPr>
          <w:rFonts w:ascii="Times New Roman" w:eastAsia="Times New Roman" w:hAnsi="Times New Roman" w:cs="Times New Roman"/>
          <w:color w:val="000000"/>
          <w:sz w:val="26"/>
          <w:szCs w:val="26"/>
        </w:rPr>
      </w:pPr>
      <w:proofErr w:type="spellStart"/>
      <w:r w:rsidRPr="00BE6750">
        <w:rPr>
          <w:rFonts w:ascii="Times New Roman" w:eastAsia="Times New Roman" w:hAnsi="Times New Roman" w:cs="Times New Roman"/>
          <w:color w:val="000000"/>
          <w:sz w:val="26"/>
          <w:szCs w:val="26"/>
        </w:rPr>
        <w:t>Chuyên</w:t>
      </w:r>
      <w:proofErr w:type="spellEnd"/>
      <w:r w:rsidRPr="00BE6750">
        <w:rPr>
          <w:rFonts w:ascii="Times New Roman" w:eastAsia="Times New Roman" w:hAnsi="Times New Roman" w:cs="Times New Roman"/>
          <w:color w:val="000000"/>
          <w:sz w:val="26"/>
          <w:szCs w:val="26"/>
        </w:rPr>
        <w:t xml:space="preserve"> </w:t>
      </w:r>
      <w:proofErr w:type="spellStart"/>
      <w:r w:rsidRPr="00BE6750">
        <w:rPr>
          <w:rFonts w:ascii="Times New Roman" w:eastAsia="Times New Roman" w:hAnsi="Times New Roman" w:cs="Times New Roman"/>
          <w:color w:val="000000"/>
          <w:sz w:val="26"/>
          <w:szCs w:val="26"/>
        </w:rPr>
        <w:t>ngành</w:t>
      </w:r>
      <w:proofErr w:type="spellEnd"/>
      <w:r w:rsidRPr="00BE6750">
        <w:rPr>
          <w:rFonts w:ascii="Times New Roman" w:eastAsia="Times New Roman" w:hAnsi="Times New Roman" w:cs="Times New Roman"/>
          <w:color w:val="000000"/>
          <w:sz w:val="26"/>
          <w:szCs w:val="26"/>
        </w:rPr>
        <w:t xml:space="preserve">: </w:t>
      </w:r>
      <w:proofErr w:type="spellStart"/>
      <w:r w:rsidR="005E3265" w:rsidRPr="00BE6750">
        <w:rPr>
          <w:rFonts w:ascii="Times New Roman" w:hAnsi="Times New Roman" w:cs="Times New Roman"/>
          <w:color w:val="000000"/>
          <w:sz w:val="26"/>
          <w:szCs w:val="26"/>
        </w:rPr>
        <w:t>Tài</w:t>
      </w:r>
      <w:proofErr w:type="spellEnd"/>
      <w:r w:rsidR="005E3265" w:rsidRPr="00BE6750">
        <w:rPr>
          <w:rFonts w:ascii="Times New Roman" w:hAnsi="Times New Roman" w:cs="Times New Roman"/>
          <w:color w:val="000000"/>
          <w:sz w:val="26"/>
          <w:szCs w:val="26"/>
          <w:lang w:val="vi-VN"/>
        </w:rPr>
        <w:t xml:space="preserve"> chính – Ngân hàng</w:t>
      </w:r>
      <w:r w:rsidRPr="00BE6750">
        <w:rPr>
          <w:rFonts w:ascii="Times New Roman" w:eastAsia="Times New Roman" w:hAnsi="Times New Roman" w:cs="Times New Roman"/>
          <w:color w:val="000000"/>
          <w:sz w:val="26"/>
          <w:szCs w:val="26"/>
        </w:rPr>
        <w:t xml:space="preserve"> </w:t>
      </w:r>
      <w:r w:rsidR="005E3265" w:rsidRPr="00BE6750">
        <w:rPr>
          <w:rFonts w:ascii="Times New Roman" w:eastAsia="Times New Roman" w:hAnsi="Times New Roman" w:cs="Times New Roman"/>
          <w:color w:val="000000"/>
          <w:sz w:val="26"/>
          <w:szCs w:val="26"/>
          <w:lang w:val="vi-VN"/>
        </w:rPr>
        <w:t xml:space="preserve">  </w:t>
      </w:r>
      <w:r w:rsidR="00BE6750">
        <w:rPr>
          <w:rFonts w:ascii="Times New Roman" w:eastAsia="Times New Roman" w:hAnsi="Times New Roman" w:cs="Times New Roman"/>
          <w:color w:val="000000"/>
          <w:sz w:val="26"/>
          <w:szCs w:val="26"/>
          <w:lang w:val="vi-VN"/>
        </w:rPr>
        <w:t xml:space="preserve">   </w:t>
      </w:r>
      <w:r w:rsidRPr="00BE6750">
        <w:rPr>
          <w:rFonts w:ascii="Times New Roman" w:eastAsia="Times New Roman" w:hAnsi="Times New Roman" w:cs="Times New Roman"/>
          <w:sz w:val="26"/>
          <w:szCs w:val="26"/>
        </w:rPr>
        <w:t xml:space="preserve"> </w:t>
      </w:r>
      <w:r w:rsidR="00BE6750">
        <w:rPr>
          <w:rFonts w:ascii="Times New Roman" w:eastAsia="Times New Roman" w:hAnsi="Times New Roman" w:cs="Times New Roman"/>
          <w:sz w:val="26"/>
          <w:szCs w:val="26"/>
          <w:lang w:val="vi-VN"/>
        </w:rPr>
        <w:t xml:space="preserve">    </w:t>
      </w:r>
      <w:proofErr w:type="spellStart"/>
      <w:r w:rsidRPr="00BE6750">
        <w:rPr>
          <w:rFonts w:ascii="Times New Roman" w:eastAsia="Times New Roman" w:hAnsi="Times New Roman" w:cs="Times New Roman"/>
          <w:color w:val="000000"/>
          <w:sz w:val="26"/>
          <w:szCs w:val="26"/>
        </w:rPr>
        <w:t>Mã</w:t>
      </w:r>
      <w:proofErr w:type="spellEnd"/>
      <w:r w:rsidRPr="00BE6750">
        <w:rPr>
          <w:rFonts w:ascii="Times New Roman" w:eastAsia="Times New Roman" w:hAnsi="Times New Roman" w:cs="Times New Roman"/>
          <w:color w:val="000000"/>
          <w:sz w:val="26"/>
          <w:szCs w:val="26"/>
        </w:rPr>
        <w:t xml:space="preserve"> </w:t>
      </w:r>
      <w:proofErr w:type="spellStart"/>
      <w:r w:rsidRPr="00BE6750">
        <w:rPr>
          <w:rFonts w:ascii="Times New Roman" w:eastAsia="Times New Roman" w:hAnsi="Times New Roman" w:cs="Times New Roman"/>
          <w:color w:val="000000"/>
          <w:sz w:val="26"/>
          <w:szCs w:val="26"/>
        </w:rPr>
        <w:t>số</w:t>
      </w:r>
      <w:proofErr w:type="spellEnd"/>
      <w:r w:rsidRPr="00BE6750">
        <w:rPr>
          <w:rFonts w:ascii="Times New Roman" w:eastAsia="Times New Roman" w:hAnsi="Times New Roman" w:cs="Times New Roman"/>
          <w:color w:val="000000"/>
          <w:sz w:val="26"/>
          <w:szCs w:val="26"/>
        </w:rPr>
        <w:t xml:space="preserve">: </w:t>
      </w:r>
      <w:r w:rsidR="005E3265" w:rsidRPr="00BE6750">
        <w:rPr>
          <w:rFonts w:ascii="Times New Roman" w:hAnsi="Times New Roman" w:cs="Times New Roman"/>
          <w:color w:val="000000"/>
          <w:sz w:val="26"/>
          <w:szCs w:val="26"/>
          <w:lang w:val="vi-VN"/>
        </w:rPr>
        <w:t>9.34.02.01</w:t>
      </w:r>
      <w:r w:rsidRPr="00BE6750">
        <w:rPr>
          <w:rFonts w:ascii="Times New Roman" w:eastAsia="Times New Roman" w:hAnsi="Times New Roman" w:cs="Times New Roman"/>
          <w:color w:val="000000"/>
          <w:sz w:val="26"/>
          <w:szCs w:val="26"/>
        </w:rPr>
        <w:tab/>
      </w:r>
    </w:p>
    <w:p w14:paraId="65920351" w14:textId="5A80BAEB" w:rsidR="002E1A53" w:rsidRPr="00BE6750" w:rsidRDefault="00000000" w:rsidP="00BE6750">
      <w:pPr>
        <w:pBdr>
          <w:top w:val="nil"/>
          <w:left w:val="nil"/>
          <w:bottom w:val="nil"/>
          <w:right w:val="nil"/>
          <w:between w:val="nil"/>
        </w:pBdr>
        <w:tabs>
          <w:tab w:val="center" w:pos="1701"/>
          <w:tab w:val="left" w:pos="5954"/>
        </w:tabs>
        <w:spacing w:before="120" w:after="120" w:line="312" w:lineRule="auto"/>
        <w:ind w:leftChars="0" w:left="3" w:right="81" w:hanging="3"/>
        <w:jc w:val="both"/>
        <w:rPr>
          <w:rFonts w:ascii="Times New Roman" w:eastAsia="Times New Roman" w:hAnsi="Times New Roman" w:cs="Times New Roman"/>
          <w:color w:val="000000"/>
          <w:sz w:val="26"/>
          <w:szCs w:val="26"/>
        </w:rPr>
      </w:pPr>
      <w:proofErr w:type="spellStart"/>
      <w:r w:rsidRPr="00BE6750">
        <w:rPr>
          <w:rFonts w:ascii="Times New Roman" w:eastAsia="Times New Roman" w:hAnsi="Times New Roman" w:cs="Times New Roman"/>
          <w:color w:val="000000"/>
          <w:sz w:val="26"/>
          <w:szCs w:val="26"/>
        </w:rPr>
        <w:t>Họ</w:t>
      </w:r>
      <w:proofErr w:type="spellEnd"/>
      <w:r w:rsidRPr="00BE6750">
        <w:rPr>
          <w:rFonts w:ascii="Times New Roman" w:eastAsia="Times New Roman" w:hAnsi="Times New Roman" w:cs="Times New Roman"/>
          <w:color w:val="000000"/>
          <w:sz w:val="26"/>
          <w:szCs w:val="26"/>
        </w:rPr>
        <w:t xml:space="preserve"> </w:t>
      </w:r>
      <w:proofErr w:type="spellStart"/>
      <w:r w:rsidRPr="00BE6750">
        <w:rPr>
          <w:rFonts w:ascii="Times New Roman" w:eastAsia="Times New Roman" w:hAnsi="Times New Roman" w:cs="Times New Roman"/>
          <w:color w:val="000000"/>
          <w:sz w:val="26"/>
          <w:szCs w:val="26"/>
        </w:rPr>
        <w:t>tên</w:t>
      </w:r>
      <w:proofErr w:type="spellEnd"/>
      <w:r w:rsidRPr="00BE6750">
        <w:rPr>
          <w:rFonts w:ascii="Times New Roman" w:eastAsia="Times New Roman" w:hAnsi="Times New Roman" w:cs="Times New Roman"/>
          <w:color w:val="000000"/>
          <w:sz w:val="26"/>
          <w:szCs w:val="26"/>
        </w:rPr>
        <w:t xml:space="preserve"> NCS: </w:t>
      </w:r>
      <w:r w:rsidR="005E3265" w:rsidRPr="00BE6750">
        <w:rPr>
          <w:rFonts w:ascii="Times New Roman" w:eastAsia="Times New Roman" w:hAnsi="Times New Roman" w:cs="Times New Roman"/>
          <w:color w:val="000000"/>
          <w:sz w:val="26"/>
          <w:szCs w:val="26"/>
        </w:rPr>
        <w:t>Lê</w:t>
      </w:r>
      <w:r w:rsidR="005E3265" w:rsidRPr="00BE6750">
        <w:rPr>
          <w:rFonts w:ascii="Times New Roman" w:eastAsia="Times New Roman" w:hAnsi="Times New Roman" w:cs="Times New Roman"/>
          <w:color w:val="000000"/>
          <w:sz w:val="26"/>
          <w:szCs w:val="26"/>
          <w:lang w:val="vi-VN"/>
        </w:rPr>
        <w:t xml:space="preserve"> Ngọc Quỳnh Anh</w:t>
      </w:r>
      <w:r w:rsidR="00BE6750">
        <w:rPr>
          <w:rFonts w:ascii="Times New Roman" w:eastAsia="Times New Roman" w:hAnsi="Times New Roman" w:cs="Times New Roman"/>
          <w:color w:val="000000"/>
          <w:sz w:val="26"/>
          <w:szCs w:val="26"/>
          <w:lang w:val="vi-VN"/>
        </w:rPr>
        <w:t xml:space="preserve">                  </w:t>
      </w:r>
      <w:proofErr w:type="spellStart"/>
      <w:r w:rsidRPr="00BE6750">
        <w:rPr>
          <w:rFonts w:ascii="Times New Roman" w:eastAsia="Times New Roman" w:hAnsi="Times New Roman" w:cs="Times New Roman"/>
          <w:color w:val="000000"/>
          <w:sz w:val="26"/>
          <w:szCs w:val="26"/>
        </w:rPr>
        <w:t>Mã</w:t>
      </w:r>
      <w:proofErr w:type="spellEnd"/>
      <w:r w:rsidRPr="00BE6750">
        <w:rPr>
          <w:rFonts w:ascii="Times New Roman" w:eastAsia="Times New Roman" w:hAnsi="Times New Roman" w:cs="Times New Roman"/>
          <w:color w:val="000000"/>
          <w:sz w:val="26"/>
          <w:szCs w:val="26"/>
        </w:rPr>
        <w:t xml:space="preserve"> </w:t>
      </w:r>
      <w:proofErr w:type="spellStart"/>
      <w:r w:rsidRPr="00BE6750">
        <w:rPr>
          <w:rFonts w:ascii="Times New Roman" w:eastAsia="Times New Roman" w:hAnsi="Times New Roman" w:cs="Times New Roman"/>
          <w:color w:val="000000"/>
          <w:sz w:val="26"/>
          <w:szCs w:val="26"/>
        </w:rPr>
        <w:t>số</w:t>
      </w:r>
      <w:proofErr w:type="spellEnd"/>
      <w:r w:rsidRPr="00BE6750">
        <w:rPr>
          <w:rFonts w:ascii="Times New Roman" w:eastAsia="Times New Roman" w:hAnsi="Times New Roman" w:cs="Times New Roman"/>
          <w:color w:val="000000"/>
          <w:sz w:val="26"/>
          <w:szCs w:val="26"/>
        </w:rPr>
        <w:t xml:space="preserve"> NCS:</w:t>
      </w:r>
      <w:r w:rsidR="005E3265" w:rsidRPr="00BE6750">
        <w:rPr>
          <w:rFonts w:ascii="Times New Roman" w:eastAsia="Times New Roman" w:hAnsi="Times New Roman" w:cs="Times New Roman"/>
          <w:color w:val="000000"/>
          <w:sz w:val="26"/>
          <w:szCs w:val="26"/>
          <w:lang w:val="vi-VN"/>
        </w:rPr>
        <w:t xml:space="preserve"> </w:t>
      </w:r>
      <w:r w:rsidR="005E3265" w:rsidRPr="00BE6750">
        <w:rPr>
          <w:rFonts w:ascii="Times New Roman" w:hAnsi="Times New Roman" w:cs="Times New Roman"/>
          <w:sz w:val="26"/>
          <w:szCs w:val="26"/>
        </w:rPr>
        <w:t>N19704008</w:t>
      </w:r>
      <w:r w:rsidRPr="00BE6750">
        <w:rPr>
          <w:rFonts w:ascii="Times New Roman" w:eastAsia="Times New Roman" w:hAnsi="Times New Roman" w:cs="Times New Roman"/>
          <w:color w:val="000000"/>
          <w:sz w:val="26"/>
          <w:szCs w:val="26"/>
        </w:rPr>
        <w:tab/>
      </w:r>
    </w:p>
    <w:p w14:paraId="2D96347C" w14:textId="77777777" w:rsidR="005E3265" w:rsidRPr="00BE6750" w:rsidRDefault="00000000" w:rsidP="00BE6750">
      <w:pPr>
        <w:pBdr>
          <w:top w:val="nil"/>
          <w:left w:val="nil"/>
          <w:bottom w:val="nil"/>
          <w:right w:val="nil"/>
          <w:between w:val="nil"/>
        </w:pBdr>
        <w:tabs>
          <w:tab w:val="center" w:pos="1701"/>
          <w:tab w:val="center" w:pos="6237"/>
          <w:tab w:val="left" w:pos="9356"/>
        </w:tabs>
        <w:spacing w:before="120" w:after="120" w:line="312" w:lineRule="auto"/>
        <w:ind w:leftChars="0" w:left="3" w:hanging="3"/>
        <w:jc w:val="both"/>
        <w:rPr>
          <w:rFonts w:ascii="Times New Roman" w:hAnsi="Times New Roman" w:cs="Times New Roman"/>
          <w:sz w:val="26"/>
          <w:szCs w:val="26"/>
          <w:lang w:val="vi-VN"/>
        </w:rPr>
      </w:pPr>
      <w:proofErr w:type="spellStart"/>
      <w:r w:rsidRPr="00BE6750">
        <w:rPr>
          <w:rFonts w:ascii="Times New Roman" w:eastAsia="Times New Roman" w:hAnsi="Times New Roman" w:cs="Times New Roman"/>
          <w:color w:val="000000"/>
          <w:sz w:val="26"/>
          <w:szCs w:val="26"/>
        </w:rPr>
        <w:t>Người</w:t>
      </w:r>
      <w:proofErr w:type="spellEnd"/>
      <w:r w:rsidRPr="00BE6750">
        <w:rPr>
          <w:rFonts w:ascii="Times New Roman" w:eastAsia="Times New Roman" w:hAnsi="Times New Roman" w:cs="Times New Roman"/>
          <w:color w:val="000000"/>
          <w:sz w:val="26"/>
          <w:szCs w:val="26"/>
        </w:rPr>
        <w:t xml:space="preserve"> </w:t>
      </w:r>
      <w:proofErr w:type="spellStart"/>
      <w:r w:rsidRPr="00BE6750">
        <w:rPr>
          <w:rFonts w:ascii="Times New Roman" w:eastAsia="Times New Roman" w:hAnsi="Times New Roman" w:cs="Times New Roman"/>
          <w:color w:val="000000"/>
          <w:sz w:val="26"/>
          <w:szCs w:val="26"/>
        </w:rPr>
        <w:t>hướng</w:t>
      </w:r>
      <w:proofErr w:type="spellEnd"/>
      <w:r w:rsidRPr="00BE6750">
        <w:rPr>
          <w:rFonts w:ascii="Times New Roman" w:eastAsia="Times New Roman" w:hAnsi="Times New Roman" w:cs="Times New Roman"/>
          <w:color w:val="000000"/>
          <w:sz w:val="26"/>
          <w:szCs w:val="26"/>
        </w:rPr>
        <w:t xml:space="preserve"> </w:t>
      </w:r>
      <w:proofErr w:type="spellStart"/>
      <w:r w:rsidRPr="00BE6750">
        <w:rPr>
          <w:rFonts w:ascii="Times New Roman" w:eastAsia="Times New Roman" w:hAnsi="Times New Roman" w:cs="Times New Roman"/>
          <w:color w:val="000000"/>
          <w:sz w:val="26"/>
          <w:szCs w:val="26"/>
        </w:rPr>
        <w:t>dẫn</w:t>
      </w:r>
      <w:proofErr w:type="spellEnd"/>
      <w:r w:rsidRPr="00BE6750">
        <w:rPr>
          <w:rFonts w:ascii="Times New Roman" w:eastAsia="Times New Roman" w:hAnsi="Times New Roman" w:cs="Times New Roman"/>
          <w:color w:val="000000"/>
          <w:sz w:val="26"/>
          <w:szCs w:val="26"/>
        </w:rPr>
        <w:t xml:space="preserve"> khoa </w:t>
      </w:r>
      <w:proofErr w:type="spellStart"/>
      <w:r w:rsidRPr="00BE6750">
        <w:rPr>
          <w:rFonts w:ascii="Times New Roman" w:eastAsia="Times New Roman" w:hAnsi="Times New Roman" w:cs="Times New Roman"/>
          <w:color w:val="000000"/>
          <w:sz w:val="26"/>
          <w:szCs w:val="26"/>
        </w:rPr>
        <w:t>học</w:t>
      </w:r>
      <w:proofErr w:type="spellEnd"/>
      <w:r w:rsidRPr="00BE6750">
        <w:rPr>
          <w:rFonts w:ascii="Times New Roman" w:eastAsia="Times New Roman" w:hAnsi="Times New Roman" w:cs="Times New Roman"/>
          <w:color w:val="000000"/>
          <w:sz w:val="26"/>
          <w:szCs w:val="26"/>
        </w:rPr>
        <w:t xml:space="preserve">: </w:t>
      </w:r>
      <w:r w:rsidR="005E3265" w:rsidRPr="00BE6750">
        <w:rPr>
          <w:rFonts w:ascii="Times New Roman" w:hAnsi="Times New Roman" w:cs="Times New Roman"/>
          <w:color w:val="000000"/>
          <w:sz w:val="26"/>
          <w:szCs w:val="26"/>
        </w:rPr>
        <w:t xml:space="preserve">HD1: </w:t>
      </w:r>
      <w:r w:rsidR="005E3265" w:rsidRPr="00BE6750">
        <w:rPr>
          <w:rFonts w:ascii="Times New Roman" w:hAnsi="Times New Roman" w:cs="Times New Roman"/>
          <w:sz w:val="26"/>
          <w:szCs w:val="26"/>
        </w:rPr>
        <w:t>PGS</w:t>
      </w:r>
      <w:r w:rsidR="005E3265" w:rsidRPr="00BE6750">
        <w:rPr>
          <w:rFonts w:ascii="Times New Roman" w:hAnsi="Times New Roman" w:cs="Times New Roman"/>
          <w:sz w:val="26"/>
          <w:szCs w:val="26"/>
          <w:lang w:val="vi-VN"/>
        </w:rPr>
        <w:t>.TS Hoàng Công Gia Khánh</w:t>
      </w:r>
    </w:p>
    <w:p w14:paraId="76684EC3" w14:textId="77777777" w:rsidR="002E1A53" w:rsidRPr="00BE6750" w:rsidRDefault="005E3265" w:rsidP="00BE6750">
      <w:pPr>
        <w:pBdr>
          <w:top w:val="nil"/>
          <w:left w:val="nil"/>
          <w:bottom w:val="nil"/>
          <w:right w:val="nil"/>
          <w:between w:val="nil"/>
        </w:pBdr>
        <w:tabs>
          <w:tab w:val="center" w:pos="1701"/>
          <w:tab w:val="center" w:pos="6237"/>
          <w:tab w:val="left" w:pos="9356"/>
        </w:tabs>
        <w:spacing w:before="120" w:after="120" w:line="312" w:lineRule="auto"/>
        <w:ind w:leftChars="0" w:left="3" w:hanging="3"/>
        <w:jc w:val="both"/>
        <w:rPr>
          <w:rFonts w:ascii="Times New Roman" w:hAnsi="Times New Roman" w:cs="Times New Roman"/>
          <w:color w:val="000000"/>
          <w:sz w:val="26"/>
          <w:szCs w:val="26"/>
        </w:rPr>
      </w:pPr>
      <w:r w:rsidRPr="00BE6750">
        <w:rPr>
          <w:rFonts w:ascii="Times New Roman" w:hAnsi="Times New Roman" w:cs="Times New Roman"/>
          <w:sz w:val="26"/>
          <w:szCs w:val="26"/>
          <w:lang w:val="vi-VN"/>
        </w:rPr>
        <w:t xml:space="preserve"> </w:t>
      </w:r>
      <w:r w:rsidRPr="00BE6750">
        <w:rPr>
          <w:rFonts w:ascii="Times New Roman" w:hAnsi="Times New Roman" w:cs="Times New Roman"/>
          <w:color w:val="000000"/>
          <w:sz w:val="26"/>
          <w:szCs w:val="26"/>
        </w:rPr>
        <w:tab/>
      </w:r>
      <w:r w:rsidRPr="00BE6750">
        <w:rPr>
          <w:rFonts w:ascii="Times New Roman" w:hAnsi="Times New Roman" w:cs="Times New Roman"/>
          <w:color w:val="000000"/>
          <w:sz w:val="26"/>
          <w:szCs w:val="26"/>
          <w:lang w:val="vi-VN"/>
        </w:rPr>
        <w:t xml:space="preserve">                                             </w:t>
      </w:r>
      <w:r w:rsidRPr="00BE6750">
        <w:rPr>
          <w:rFonts w:ascii="Times New Roman" w:hAnsi="Times New Roman" w:cs="Times New Roman"/>
          <w:color w:val="000000"/>
          <w:sz w:val="26"/>
          <w:szCs w:val="26"/>
        </w:rPr>
        <w:t>HD2: PGS</w:t>
      </w:r>
      <w:r w:rsidRPr="00BE6750">
        <w:rPr>
          <w:rFonts w:ascii="Times New Roman" w:hAnsi="Times New Roman" w:cs="Times New Roman"/>
          <w:color w:val="000000"/>
          <w:sz w:val="26"/>
          <w:szCs w:val="26"/>
          <w:lang w:val="vi-VN"/>
        </w:rPr>
        <w:t>.</w:t>
      </w:r>
      <w:r w:rsidRPr="00BE6750">
        <w:rPr>
          <w:rFonts w:ascii="Times New Roman" w:hAnsi="Times New Roman" w:cs="Times New Roman"/>
          <w:color w:val="000000"/>
          <w:sz w:val="26"/>
          <w:szCs w:val="26"/>
        </w:rPr>
        <w:t>TS</w:t>
      </w:r>
      <w:r w:rsidRPr="00BE6750">
        <w:rPr>
          <w:rFonts w:ascii="Times New Roman" w:hAnsi="Times New Roman" w:cs="Times New Roman"/>
          <w:color w:val="000000"/>
          <w:sz w:val="26"/>
          <w:szCs w:val="26"/>
          <w:lang w:val="vi-VN"/>
        </w:rPr>
        <w:t>. Phạm Thị Thanh Xuân</w:t>
      </w:r>
    </w:p>
    <w:p w14:paraId="1AA28741" w14:textId="77777777" w:rsidR="002E1A53" w:rsidRPr="00BE6750" w:rsidRDefault="00000000" w:rsidP="00BE6750">
      <w:pPr>
        <w:spacing w:before="120" w:after="120" w:line="312" w:lineRule="auto"/>
        <w:ind w:leftChars="0" w:left="3" w:hanging="3"/>
        <w:jc w:val="both"/>
        <w:rPr>
          <w:rFonts w:ascii="Times New Roman" w:eastAsia="Times New Roman" w:hAnsi="Times New Roman" w:cs="Times New Roman"/>
          <w:sz w:val="26"/>
          <w:szCs w:val="26"/>
        </w:rPr>
      </w:pPr>
      <w:proofErr w:type="spellStart"/>
      <w:r w:rsidRPr="00BE6750">
        <w:rPr>
          <w:rFonts w:ascii="Times New Roman" w:eastAsia="Times New Roman" w:hAnsi="Times New Roman" w:cs="Times New Roman"/>
          <w:sz w:val="26"/>
          <w:szCs w:val="26"/>
        </w:rPr>
        <w:t>Cơ</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sở</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đào</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tạo</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Trường</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Đại</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học</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Kinh</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tế</w:t>
      </w:r>
      <w:proofErr w:type="spellEnd"/>
      <w:r w:rsidRPr="00BE6750">
        <w:rPr>
          <w:rFonts w:ascii="Times New Roman" w:eastAsia="Times New Roman" w:hAnsi="Times New Roman" w:cs="Times New Roman"/>
          <w:sz w:val="26"/>
          <w:szCs w:val="26"/>
        </w:rPr>
        <w:t xml:space="preserve"> - </w:t>
      </w:r>
      <w:proofErr w:type="spellStart"/>
      <w:r w:rsidRPr="00BE6750">
        <w:rPr>
          <w:rFonts w:ascii="Times New Roman" w:eastAsia="Times New Roman" w:hAnsi="Times New Roman" w:cs="Times New Roman"/>
          <w:sz w:val="26"/>
          <w:szCs w:val="26"/>
        </w:rPr>
        <w:t>Luật</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Đại</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học</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Quốc</w:t>
      </w:r>
      <w:proofErr w:type="spellEnd"/>
      <w:r w:rsidRPr="00BE6750">
        <w:rPr>
          <w:rFonts w:ascii="Times New Roman" w:eastAsia="Times New Roman" w:hAnsi="Times New Roman" w:cs="Times New Roman"/>
          <w:sz w:val="26"/>
          <w:szCs w:val="26"/>
        </w:rPr>
        <w:t xml:space="preserve"> </w:t>
      </w:r>
      <w:proofErr w:type="spellStart"/>
      <w:r w:rsidRPr="00BE6750">
        <w:rPr>
          <w:rFonts w:ascii="Times New Roman" w:eastAsia="Times New Roman" w:hAnsi="Times New Roman" w:cs="Times New Roman"/>
          <w:sz w:val="26"/>
          <w:szCs w:val="26"/>
        </w:rPr>
        <w:t>gia</w:t>
      </w:r>
      <w:proofErr w:type="spellEnd"/>
      <w:r w:rsidRPr="00BE6750">
        <w:rPr>
          <w:rFonts w:ascii="Times New Roman" w:eastAsia="Times New Roman" w:hAnsi="Times New Roman" w:cs="Times New Roman"/>
          <w:sz w:val="26"/>
          <w:szCs w:val="26"/>
        </w:rPr>
        <w:t xml:space="preserve"> TP.HCM</w:t>
      </w:r>
    </w:p>
    <w:p w14:paraId="682B7831" w14:textId="77777777" w:rsidR="002E1A53" w:rsidRPr="00BE6750" w:rsidRDefault="00000000" w:rsidP="00BE6750">
      <w:pPr>
        <w:spacing w:before="120" w:after="120" w:line="312" w:lineRule="auto"/>
        <w:ind w:left="1" w:hanging="3"/>
        <w:jc w:val="both"/>
        <w:rPr>
          <w:rFonts w:ascii="Times New Roman" w:eastAsia="Times New Roman" w:hAnsi="Times New Roman" w:cs="Times New Roman"/>
          <w:color w:val="000000" w:themeColor="text1"/>
          <w:sz w:val="26"/>
          <w:szCs w:val="26"/>
        </w:rPr>
      </w:pPr>
      <w:r w:rsidRPr="00BE6750">
        <w:rPr>
          <w:rFonts w:ascii="Times New Roman" w:eastAsia="Times New Roman" w:hAnsi="Times New Roman" w:cs="Times New Roman"/>
          <w:b/>
          <w:color w:val="000000" w:themeColor="text1"/>
          <w:sz w:val="26"/>
          <w:szCs w:val="26"/>
        </w:rPr>
        <w:t>1. TÓM TẮT LUẬN ÁN</w:t>
      </w:r>
    </w:p>
    <w:p w14:paraId="30AE64B3" w14:textId="04EEE7AC" w:rsidR="00BE6750" w:rsidRPr="00BE6750" w:rsidRDefault="00BE6750" w:rsidP="00BE6750">
      <w:pPr>
        <w:spacing w:before="120" w:after="120" w:line="312" w:lineRule="auto"/>
        <w:ind w:left="-2" w:firstLineChars="0" w:firstLine="569"/>
        <w:jc w:val="both"/>
        <w:rPr>
          <w:rFonts w:ascii="Times New Roman" w:hAnsi="Times New Roman" w:cs="Times New Roman"/>
          <w:color w:val="000000" w:themeColor="text1"/>
          <w:sz w:val="26"/>
          <w:szCs w:val="26"/>
          <w:lang w:val="vi-VN"/>
        </w:rPr>
      </w:pPr>
      <w:r w:rsidRPr="00BE6750">
        <w:rPr>
          <w:rFonts w:ascii="Times New Roman" w:hAnsi="Times New Roman" w:cs="Times New Roman"/>
          <w:color w:val="000000" w:themeColor="text1"/>
          <w:sz w:val="26"/>
          <w:szCs w:val="26"/>
          <w:lang w:val="vi-VN"/>
        </w:rPr>
        <w:t xml:space="preserve">Luận án nghiên cứu về </w:t>
      </w:r>
      <w:r w:rsidR="00176023">
        <w:rPr>
          <w:rFonts w:ascii="Times New Roman" w:hAnsi="Times New Roman" w:cs="Times New Roman"/>
          <w:color w:val="000000" w:themeColor="text1"/>
          <w:sz w:val="26"/>
          <w:szCs w:val="26"/>
          <w:lang w:val="vi-VN"/>
        </w:rPr>
        <w:t>kỷ luật thị trường (KLTT)</w:t>
      </w:r>
      <w:r w:rsidRPr="00BE6750">
        <w:rPr>
          <w:rFonts w:ascii="Times New Roman" w:hAnsi="Times New Roman" w:cs="Times New Roman"/>
          <w:color w:val="000000" w:themeColor="text1"/>
          <w:sz w:val="26"/>
          <w:szCs w:val="26"/>
          <w:lang w:val="vi-VN"/>
        </w:rPr>
        <w:t xml:space="preserve"> của những người gửi tiền và chủ nợ thứ cấp; </w:t>
      </w:r>
      <w:r w:rsidR="00176023">
        <w:rPr>
          <w:rFonts w:ascii="Times New Roman" w:hAnsi="Times New Roman" w:cs="Times New Roman"/>
          <w:color w:val="000000" w:themeColor="text1"/>
          <w:sz w:val="26"/>
          <w:szCs w:val="26"/>
          <w:lang w:val="vi-VN"/>
        </w:rPr>
        <w:t>hiệu quả ngân hàng (HQNH)</w:t>
      </w:r>
      <w:r w:rsidRPr="00BE6750">
        <w:rPr>
          <w:rFonts w:ascii="Times New Roman" w:hAnsi="Times New Roman" w:cs="Times New Roman"/>
          <w:color w:val="000000" w:themeColor="text1"/>
          <w:sz w:val="26"/>
          <w:szCs w:val="26"/>
          <w:lang w:val="vi-VN"/>
        </w:rPr>
        <w:t xml:space="preserve"> và tác động của KLTT đến HQNH khu vực Châu Á – Thái Bình Dương trong giai đoạn 2016 - 2021. Kết quả luận án đã làm rõ một số vấn đề sau: </w:t>
      </w:r>
      <w:r w:rsidRPr="00BE6750">
        <w:rPr>
          <w:rFonts w:ascii="Times New Roman" w:hAnsi="Times New Roman" w:cs="Times New Roman"/>
          <w:bCs/>
          <w:i/>
          <w:iCs/>
          <w:color w:val="000000" w:themeColor="text1"/>
          <w:sz w:val="26"/>
          <w:szCs w:val="26"/>
          <w:lang w:val="vi-VN"/>
        </w:rPr>
        <w:t>Thứ nhất,</w:t>
      </w:r>
      <w:r w:rsidRPr="00BE6750">
        <w:rPr>
          <w:rFonts w:ascii="Times New Roman" w:hAnsi="Times New Roman" w:cs="Times New Roman"/>
          <w:bCs/>
          <w:color w:val="000000" w:themeColor="text1"/>
          <w:sz w:val="26"/>
          <w:szCs w:val="26"/>
          <w:lang w:val="vi-VN"/>
        </w:rPr>
        <w:t xml:space="preserve"> các </w:t>
      </w:r>
      <w:r w:rsidR="00176023">
        <w:rPr>
          <w:rFonts w:ascii="Times New Roman" w:hAnsi="Times New Roman" w:cs="Times New Roman"/>
          <w:bCs/>
          <w:color w:val="000000" w:themeColor="text1"/>
          <w:sz w:val="26"/>
          <w:szCs w:val="26"/>
          <w:lang w:val="vi-VN"/>
        </w:rPr>
        <w:t>thành viên tham gia (TVTG)</w:t>
      </w:r>
      <w:r w:rsidRPr="00BE6750">
        <w:rPr>
          <w:rFonts w:ascii="Times New Roman" w:hAnsi="Times New Roman" w:cs="Times New Roman"/>
          <w:color w:val="000000" w:themeColor="text1"/>
          <w:sz w:val="26"/>
          <w:szCs w:val="26"/>
          <w:lang w:val="vi-VN"/>
        </w:rPr>
        <w:t xml:space="preserve"> </w:t>
      </w:r>
      <w:r w:rsidRPr="00BE6750">
        <w:rPr>
          <w:rFonts w:ascii="Times New Roman" w:hAnsi="Times New Roman" w:cs="Times New Roman"/>
          <w:bCs/>
          <w:color w:val="000000" w:themeColor="text1"/>
          <w:sz w:val="26"/>
          <w:szCs w:val="26"/>
          <w:lang w:val="vi-VN"/>
        </w:rPr>
        <w:t xml:space="preserve">thị trường sẽ thực hiện kỷ luật đối với các </w:t>
      </w:r>
      <w:r w:rsidRPr="00BE6750">
        <w:rPr>
          <w:rFonts w:ascii="Times New Roman" w:hAnsi="Times New Roman" w:cs="Times New Roman"/>
          <w:color w:val="000000" w:themeColor="text1"/>
          <w:sz w:val="26"/>
          <w:szCs w:val="26"/>
          <w:lang w:val="vi-VN"/>
        </w:rPr>
        <w:t>ngân hàng</w:t>
      </w:r>
      <w:r w:rsidRPr="00BE6750">
        <w:rPr>
          <w:rFonts w:ascii="Times New Roman" w:hAnsi="Times New Roman" w:cs="Times New Roman"/>
          <w:bCs/>
          <w:color w:val="000000" w:themeColor="text1"/>
          <w:sz w:val="26"/>
          <w:szCs w:val="26"/>
          <w:lang w:val="vi-VN"/>
        </w:rPr>
        <w:t xml:space="preserve"> có mức rủi ro cao hơn. Đây là các rủi ro được Basel đưa vào khuyến nghị yêu cầu các </w:t>
      </w:r>
      <w:r w:rsidRPr="00BE6750">
        <w:rPr>
          <w:rFonts w:ascii="Times New Roman" w:hAnsi="Times New Roman" w:cs="Times New Roman"/>
          <w:color w:val="000000" w:themeColor="text1"/>
          <w:sz w:val="26"/>
          <w:szCs w:val="26"/>
          <w:lang w:val="vi-VN"/>
        </w:rPr>
        <w:t>ngân hàng</w:t>
      </w:r>
      <w:r w:rsidRPr="00BE6750">
        <w:rPr>
          <w:rFonts w:ascii="Times New Roman" w:hAnsi="Times New Roman" w:cs="Times New Roman"/>
          <w:bCs/>
          <w:color w:val="000000" w:themeColor="text1"/>
          <w:sz w:val="26"/>
          <w:szCs w:val="26"/>
          <w:lang w:val="vi-VN"/>
        </w:rPr>
        <w:t xml:space="preserve"> công bố đầy đủ thông tin (Rủi ro tín dụng, rủi ro thị trường, rủi ro hoạt động và rủi ro tín dụng đối tác). Do đó, đây là một trong những nguyên nhân khiến các </w:t>
      </w:r>
      <w:r w:rsidRPr="00BE6750">
        <w:rPr>
          <w:rFonts w:ascii="Times New Roman" w:hAnsi="Times New Roman" w:cs="Times New Roman"/>
          <w:color w:val="000000" w:themeColor="text1"/>
          <w:sz w:val="26"/>
          <w:szCs w:val="26"/>
          <w:lang w:val="vi-VN"/>
        </w:rPr>
        <w:t>ngân hàng</w:t>
      </w:r>
      <w:r w:rsidRPr="00BE6750">
        <w:rPr>
          <w:rFonts w:ascii="Times New Roman" w:hAnsi="Times New Roman" w:cs="Times New Roman"/>
          <w:bCs/>
          <w:color w:val="000000" w:themeColor="text1"/>
          <w:sz w:val="26"/>
          <w:szCs w:val="26"/>
          <w:lang w:val="vi-VN"/>
        </w:rPr>
        <w:t xml:space="preserve"> trì hoãn việc đáp ứng các quy định </w:t>
      </w:r>
      <w:r w:rsidR="00176023">
        <w:rPr>
          <w:rFonts w:ascii="Times New Roman" w:hAnsi="Times New Roman" w:cs="Times New Roman"/>
          <w:bCs/>
          <w:color w:val="000000" w:themeColor="text1"/>
          <w:sz w:val="26"/>
          <w:szCs w:val="26"/>
          <w:lang w:val="vi-VN"/>
        </w:rPr>
        <w:t>công bố thông tin (CBTT)</w:t>
      </w:r>
      <w:r w:rsidRPr="00BE6750">
        <w:rPr>
          <w:rFonts w:ascii="Times New Roman" w:hAnsi="Times New Roman" w:cs="Times New Roman"/>
          <w:bCs/>
          <w:color w:val="000000" w:themeColor="text1"/>
          <w:sz w:val="26"/>
          <w:szCs w:val="26"/>
          <w:lang w:val="vi-VN"/>
        </w:rPr>
        <w:t xml:space="preserve"> đối với bốn loại rủi ro này, đặc biệt là nhóm các </w:t>
      </w:r>
      <w:proofErr w:type="spellStart"/>
      <w:r w:rsidRPr="00BE6750">
        <w:rPr>
          <w:rFonts w:ascii="Times New Roman" w:hAnsi="Times New Roman" w:cs="Times New Roman"/>
          <w:bCs/>
          <w:color w:val="000000" w:themeColor="text1"/>
          <w:sz w:val="26"/>
          <w:szCs w:val="26"/>
        </w:rPr>
        <w:t>nền</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kinh</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tế</w:t>
      </w:r>
      <w:proofErr w:type="spellEnd"/>
      <w:r w:rsidRPr="00BE6750">
        <w:rPr>
          <w:rFonts w:ascii="Times New Roman" w:hAnsi="Times New Roman" w:cs="Times New Roman"/>
          <w:bCs/>
          <w:color w:val="000000" w:themeColor="text1"/>
          <w:sz w:val="26"/>
          <w:szCs w:val="26"/>
          <w:lang w:val="vi-VN"/>
        </w:rPr>
        <w:t xml:space="preserve"> mới nổi. </w:t>
      </w:r>
      <w:r w:rsidRPr="00BE6750">
        <w:rPr>
          <w:rFonts w:ascii="Times New Roman" w:hAnsi="Times New Roman" w:cs="Times New Roman"/>
          <w:bCs/>
          <w:i/>
          <w:iCs/>
          <w:color w:val="000000" w:themeColor="text1"/>
          <w:sz w:val="26"/>
          <w:szCs w:val="26"/>
          <w:lang w:val="vi-VN"/>
        </w:rPr>
        <w:t>Thứ hai,</w:t>
      </w:r>
      <w:r w:rsidRPr="00BE6750">
        <w:rPr>
          <w:rFonts w:ascii="Times New Roman" w:hAnsi="Times New Roman" w:cs="Times New Roman"/>
          <w:bCs/>
          <w:color w:val="000000" w:themeColor="text1"/>
          <w:sz w:val="26"/>
          <w:szCs w:val="26"/>
          <w:lang w:val="vi-VN"/>
        </w:rPr>
        <w:t xml:space="preserve"> </w:t>
      </w:r>
      <w:proofErr w:type="spellStart"/>
      <w:r w:rsidRPr="00BE6750">
        <w:rPr>
          <w:rFonts w:ascii="Times New Roman" w:hAnsi="Times New Roman" w:cs="Times New Roman"/>
          <w:bCs/>
          <w:color w:val="000000" w:themeColor="text1"/>
          <w:sz w:val="26"/>
          <w:szCs w:val="26"/>
        </w:rPr>
        <w:t>việc</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các</w:t>
      </w:r>
      <w:proofErr w:type="spellEnd"/>
      <w:r w:rsidRPr="00BE6750">
        <w:rPr>
          <w:rFonts w:ascii="Times New Roman" w:hAnsi="Times New Roman" w:cs="Times New Roman"/>
          <w:bCs/>
          <w:color w:val="000000" w:themeColor="text1"/>
          <w:sz w:val="26"/>
          <w:szCs w:val="26"/>
        </w:rPr>
        <w:t xml:space="preserve"> </w:t>
      </w:r>
      <w:r w:rsidRPr="00BE6750">
        <w:rPr>
          <w:rFonts w:ascii="Times New Roman" w:hAnsi="Times New Roman" w:cs="Times New Roman"/>
          <w:color w:val="000000" w:themeColor="text1"/>
          <w:sz w:val="26"/>
          <w:szCs w:val="26"/>
          <w:lang w:val="vi-VN"/>
        </w:rPr>
        <w:t>ngân hàng</w:t>
      </w:r>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tăng</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khả</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năng</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đáp</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ứng</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các</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quy</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định</w:t>
      </w:r>
      <w:proofErr w:type="spellEnd"/>
      <w:r w:rsidRPr="00BE6750">
        <w:rPr>
          <w:rFonts w:ascii="Times New Roman" w:hAnsi="Times New Roman" w:cs="Times New Roman"/>
          <w:bCs/>
          <w:color w:val="000000" w:themeColor="text1"/>
          <w:sz w:val="26"/>
          <w:szCs w:val="26"/>
          <w:lang w:val="vi-VN"/>
        </w:rPr>
        <w:t xml:space="preserve"> về vốn và thanh khoản theo khung Basel III của cả hai nhóm </w:t>
      </w:r>
      <w:proofErr w:type="spellStart"/>
      <w:r w:rsidRPr="00BE6750">
        <w:rPr>
          <w:rFonts w:ascii="Times New Roman" w:hAnsi="Times New Roman" w:cs="Times New Roman"/>
          <w:bCs/>
          <w:color w:val="000000" w:themeColor="text1"/>
          <w:sz w:val="26"/>
          <w:szCs w:val="26"/>
        </w:rPr>
        <w:t>nền</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kinh</w:t>
      </w:r>
      <w:proofErr w:type="spellEnd"/>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tế</w:t>
      </w:r>
      <w:proofErr w:type="spellEnd"/>
      <w:r w:rsidRPr="00BE6750">
        <w:rPr>
          <w:rFonts w:ascii="Times New Roman" w:hAnsi="Times New Roman" w:cs="Times New Roman"/>
          <w:bCs/>
          <w:color w:val="000000" w:themeColor="text1"/>
          <w:sz w:val="26"/>
          <w:szCs w:val="26"/>
          <w:lang w:val="vi-VN"/>
        </w:rPr>
        <w:t xml:space="preserve"> phát triển và mới nổi đều giúp các </w:t>
      </w:r>
      <w:r w:rsidRPr="00BE6750">
        <w:rPr>
          <w:rFonts w:ascii="Times New Roman" w:hAnsi="Times New Roman" w:cs="Times New Roman"/>
          <w:color w:val="000000" w:themeColor="text1"/>
          <w:sz w:val="26"/>
          <w:szCs w:val="26"/>
          <w:lang w:val="vi-VN"/>
        </w:rPr>
        <w:t xml:space="preserve">TVTG </w:t>
      </w:r>
      <w:r w:rsidRPr="00BE6750">
        <w:rPr>
          <w:rFonts w:ascii="Times New Roman" w:hAnsi="Times New Roman" w:cs="Times New Roman"/>
          <w:bCs/>
          <w:color w:val="000000" w:themeColor="text1"/>
          <w:sz w:val="26"/>
          <w:szCs w:val="26"/>
          <w:lang w:val="vi-VN"/>
        </w:rPr>
        <w:t xml:space="preserve">thị trường gia tăng niềm tin và giảm bớt các hành vi kỷ luật lên các </w:t>
      </w:r>
      <w:r w:rsidRPr="00BE6750">
        <w:rPr>
          <w:rFonts w:ascii="Times New Roman" w:hAnsi="Times New Roman" w:cs="Times New Roman"/>
          <w:color w:val="000000" w:themeColor="text1"/>
          <w:sz w:val="26"/>
          <w:szCs w:val="26"/>
          <w:lang w:val="vi-VN"/>
        </w:rPr>
        <w:t>ngân hàng</w:t>
      </w:r>
      <w:r w:rsidRPr="00BE6750">
        <w:rPr>
          <w:rFonts w:ascii="Times New Roman" w:hAnsi="Times New Roman" w:cs="Times New Roman"/>
          <w:bCs/>
          <w:color w:val="000000" w:themeColor="text1"/>
          <w:sz w:val="26"/>
          <w:szCs w:val="26"/>
        </w:rPr>
        <w:t xml:space="preserve"> </w:t>
      </w:r>
      <w:proofErr w:type="spellStart"/>
      <w:r w:rsidRPr="00BE6750">
        <w:rPr>
          <w:rFonts w:ascii="Times New Roman" w:hAnsi="Times New Roman" w:cs="Times New Roman"/>
          <w:bCs/>
          <w:color w:val="000000" w:themeColor="text1"/>
          <w:sz w:val="26"/>
          <w:szCs w:val="26"/>
        </w:rPr>
        <w:t>đó</w:t>
      </w:r>
      <w:proofErr w:type="spellEnd"/>
      <w:r w:rsidRPr="00BE6750">
        <w:rPr>
          <w:rFonts w:ascii="Times New Roman" w:hAnsi="Times New Roman" w:cs="Times New Roman"/>
          <w:bCs/>
          <w:color w:val="000000" w:themeColor="text1"/>
          <w:sz w:val="26"/>
          <w:szCs w:val="26"/>
          <w:lang w:val="vi-VN"/>
        </w:rPr>
        <w:t xml:space="preserve">. </w:t>
      </w:r>
      <w:r w:rsidRPr="00BE6750">
        <w:rPr>
          <w:rFonts w:ascii="Times New Roman" w:hAnsi="Times New Roman" w:cs="Times New Roman"/>
          <w:bCs/>
          <w:i/>
          <w:iCs/>
          <w:color w:val="000000" w:themeColor="text1"/>
          <w:sz w:val="26"/>
          <w:szCs w:val="26"/>
          <w:lang w:val="vi-VN"/>
        </w:rPr>
        <w:t>Cuối cùng,</w:t>
      </w:r>
      <w:r w:rsidRPr="00BE6750">
        <w:rPr>
          <w:rFonts w:ascii="Times New Roman" w:hAnsi="Times New Roman" w:cs="Times New Roman"/>
          <w:bCs/>
          <w:color w:val="000000" w:themeColor="text1"/>
          <w:sz w:val="26"/>
          <w:szCs w:val="26"/>
          <w:lang w:val="vi-VN"/>
        </w:rPr>
        <w:t xml:space="preserve"> </w:t>
      </w:r>
      <w:r w:rsidRPr="00BE6750">
        <w:rPr>
          <w:rFonts w:ascii="Times New Roman" w:hAnsi="Times New Roman" w:cs="Times New Roman"/>
          <w:color w:val="000000" w:themeColor="text1"/>
          <w:sz w:val="26"/>
          <w:szCs w:val="26"/>
          <w:lang w:val="vi-VN"/>
        </w:rPr>
        <w:t xml:space="preserve">việc tăng cường kỷ luật thị trường hay là gia tăng sự giám sát và kỷ luật của các thành viên tham gia thị trường đối với các hành vi chấp nhận rủi ro quá mức của ngân hàng, gây áp lực lên các ngân hàng hoạt động kém hiệu quả hơn và từ đó có thể giúp nâng cao hiệu quả của hệ thống ngân hàng. Đối với các quy định chính thức của ngân hàng, nhóm các </w:t>
      </w:r>
      <w:proofErr w:type="spellStart"/>
      <w:r w:rsidRPr="00BE6750">
        <w:rPr>
          <w:rFonts w:ascii="Times New Roman" w:hAnsi="Times New Roman" w:cs="Times New Roman"/>
          <w:color w:val="000000" w:themeColor="text1"/>
          <w:sz w:val="26"/>
          <w:szCs w:val="26"/>
        </w:rPr>
        <w:t>nền</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kinh</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tế</w:t>
      </w:r>
      <w:proofErr w:type="spellEnd"/>
      <w:r w:rsidRPr="00BE6750">
        <w:rPr>
          <w:rFonts w:ascii="Times New Roman" w:hAnsi="Times New Roman" w:cs="Times New Roman"/>
          <w:color w:val="000000" w:themeColor="text1"/>
          <w:sz w:val="26"/>
          <w:szCs w:val="26"/>
          <w:lang w:val="vi-VN"/>
        </w:rPr>
        <w:t xml:space="preserve"> phát triển cần chú trọng đến việc đáp ứng tiêu chuẩn thanh khoản trong ngắn hạn nhằm tăng điểm hiệu quả kỹ thuật của ngân hàng. Trong khi, đối với nhóm các nền kinh tế</w:t>
      </w:r>
      <w:r w:rsidRPr="00BE6750" w:rsidDel="00AA19B4">
        <w:rPr>
          <w:rFonts w:ascii="Times New Roman" w:hAnsi="Times New Roman" w:cs="Times New Roman"/>
          <w:color w:val="000000" w:themeColor="text1"/>
          <w:sz w:val="26"/>
          <w:szCs w:val="26"/>
          <w:lang w:val="vi-VN"/>
        </w:rPr>
        <w:t xml:space="preserve"> </w:t>
      </w:r>
      <w:r w:rsidRPr="00BE6750">
        <w:rPr>
          <w:rFonts w:ascii="Times New Roman" w:hAnsi="Times New Roman" w:cs="Times New Roman"/>
          <w:color w:val="000000" w:themeColor="text1"/>
          <w:sz w:val="26"/>
          <w:szCs w:val="26"/>
          <w:lang w:val="vi-VN"/>
        </w:rPr>
        <w:t xml:space="preserve">mới nổi thì </w:t>
      </w:r>
      <w:proofErr w:type="spellStart"/>
      <w:r w:rsidRPr="00BE6750">
        <w:rPr>
          <w:rFonts w:ascii="Times New Roman" w:hAnsi="Times New Roman" w:cs="Times New Roman"/>
          <w:color w:val="000000" w:themeColor="text1"/>
          <w:sz w:val="26"/>
          <w:szCs w:val="26"/>
        </w:rPr>
        <w:t>khả</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năng</w:t>
      </w:r>
      <w:proofErr w:type="spellEnd"/>
      <w:r w:rsidRPr="00BE6750">
        <w:rPr>
          <w:rFonts w:ascii="Times New Roman" w:hAnsi="Times New Roman" w:cs="Times New Roman"/>
          <w:color w:val="000000" w:themeColor="text1"/>
          <w:sz w:val="26"/>
          <w:szCs w:val="26"/>
          <w:lang w:val="vi-VN"/>
        </w:rPr>
        <w:t xml:space="preserve"> đáp ứng</w:t>
      </w:r>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theo</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đúng</w:t>
      </w:r>
      <w:proofErr w:type="spellEnd"/>
      <w:r w:rsidRPr="00BE6750">
        <w:rPr>
          <w:rFonts w:ascii="Times New Roman" w:hAnsi="Times New Roman" w:cs="Times New Roman"/>
          <w:color w:val="000000" w:themeColor="text1"/>
          <w:sz w:val="26"/>
          <w:szCs w:val="26"/>
          <w:lang w:val="vi-VN"/>
        </w:rPr>
        <w:t xml:space="preserve"> các quy định về vốn và thanh khoản theo Basel III chưa cho thấy tác động rõ rệt. Từ đó, luận án </w:t>
      </w:r>
      <w:r w:rsidRPr="00BE6750">
        <w:rPr>
          <w:rFonts w:ascii="Times New Roman" w:hAnsi="Times New Roman" w:cs="Times New Roman"/>
          <w:color w:val="000000" w:themeColor="text1"/>
          <w:sz w:val="26"/>
          <w:szCs w:val="26"/>
          <w:shd w:val="clear" w:color="auto" w:fill="FFFFFF"/>
          <w:lang w:val="vi-VN"/>
        </w:rPr>
        <w:t xml:space="preserve">đề xuất các hàm ý chính sách nâng cao </w:t>
      </w:r>
      <w:r w:rsidRPr="00BE6750">
        <w:rPr>
          <w:rFonts w:ascii="Times New Roman" w:hAnsi="Times New Roman" w:cs="Times New Roman"/>
          <w:color w:val="000000" w:themeColor="text1"/>
          <w:sz w:val="26"/>
          <w:szCs w:val="26"/>
          <w:lang w:val="vi-VN"/>
        </w:rPr>
        <w:t>HQNH</w:t>
      </w:r>
      <w:r w:rsidRPr="00BE6750">
        <w:rPr>
          <w:rFonts w:ascii="Times New Roman" w:hAnsi="Times New Roman" w:cs="Times New Roman"/>
          <w:color w:val="000000" w:themeColor="text1"/>
          <w:sz w:val="26"/>
          <w:szCs w:val="26"/>
          <w:shd w:val="clear" w:color="auto" w:fill="FFFFFF"/>
          <w:lang w:val="vi-VN"/>
        </w:rPr>
        <w:t xml:space="preserve"> dưới góc độ KLTT của các </w:t>
      </w:r>
      <w:r w:rsidRPr="00BE6750">
        <w:rPr>
          <w:rFonts w:ascii="Times New Roman" w:hAnsi="Times New Roman" w:cs="Times New Roman"/>
          <w:color w:val="000000" w:themeColor="text1"/>
          <w:sz w:val="26"/>
          <w:szCs w:val="26"/>
          <w:lang w:val="vi-VN"/>
        </w:rPr>
        <w:t>TVTG</w:t>
      </w:r>
      <w:r w:rsidRPr="00BE6750">
        <w:rPr>
          <w:rFonts w:ascii="Times New Roman" w:hAnsi="Times New Roman" w:cs="Times New Roman"/>
          <w:color w:val="000000" w:themeColor="text1"/>
          <w:sz w:val="26"/>
          <w:szCs w:val="26"/>
          <w:shd w:val="clear" w:color="auto" w:fill="FFFFFF"/>
          <w:lang w:val="vi-VN"/>
        </w:rPr>
        <w:t xml:space="preserve">. Cụ thể: (i) </w:t>
      </w:r>
      <w:r w:rsidRPr="00BE6750">
        <w:rPr>
          <w:rFonts w:ascii="Times New Roman" w:hAnsi="Times New Roman" w:cs="Times New Roman"/>
          <w:color w:val="000000" w:themeColor="text1"/>
          <w:sz w:val="26"/>
          <w:szCs w:val="26"/>
          <w:lang w:val="vi-VN"/>
        </w:rPr>
        <w:t>Nâng cao hiệu quả thông qua việc điều chỉnh các yếu tố đầu vào của ngân hàng; (ii) Nâng cao hiệu quả thông qua việc tăng KLTT của các TVTG thị trường và (iii) Nâng cao hiệu quả thông qua việc</w:t>
      </w:r>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tăng</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khả</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năng</w:t>
      </w:r>
      <w:proofErr w:type="spellEnd"/>
      <w:r w:rsidRPr="00BE6750">
        <w:rPr>
          <w:rFonts w:ascii="Times New Roman" w:hAnsi="Times New Roman" w:cs="Times New Roman"/>
          <w:color w:val="000000" w:themeColor="text1"/>
          <w:sz w:val="26"/>
          <w:szCs w:val="26"/>
          <w:lang w:val="vi-VN"/>
        </w:rPr>
        <w:t xml:space="preserve"> đáp ứng các quy định về vốn và thanh khoản theo Basel, đặc biệt là đáp ứng quy định tỷ lệ bao phủ thanh khoản (LCR).</w:t>
      </w:r>
    </w:p>
    <w:p w14:paraId="076D5582" w14:textId="77777777" w:rsidR="002E1A53" w:rsidRPr="00BE6750" w:rsidRDefault="00000000" w:rsidP="00BE6750">
      <w:pPr>
        <w:spacing w:before="120" w:after="120" w:line="312" w:lineRule="auto"/>
        <w:ind w:left="1" w:hanging="3"/>
        <w:jc w:val="both"/>
        <w:rPr>
          <w:rFonts w:ascii="Times New Roman" w:eastAsia="Times New Roman" w:hAnsi="Times New Roman" w:cs="Times New Roman"/>
          <w:color w:val="000000" w:themeColor="text1"/>
          <w:sz w:val="26"/>
          <w:szCs w:val="26"/>
        </w:rPr>
      </w:pPr>
      <w:r w:rsidRPr="00BE6750">
        <w:rPr>
          <w:rFonts w:ascii="Times New Roman" w:eastAsia="Times New Roman" w:hAnsi="Times New Roman" w:cs="Times New Roman"/>
          <w:b/>
          <w:color w:val="000000" w:themeColor="text1"/>
          <w:sz w:val="26"/>
          <w:szCs w:val="26"/>
        </w:rPr>
        <w:lastRenderedPageBreak/>
        <w:t>2. NHỮNG KẾT QUẢ MỚI CỦA LUẬN ÁN</w:t>
      </w:r>
    </w:p>
    <w:p w14:paraId="08761F4B" w14:textId="12F9F171" w:rsidR="00D64B3C" w:rsidRPr="00BE6750" w:rsidRDefault="00D64B3C" w:rsidP="00BE6750">
      <w:pPr>
        <w:pStyle w:val="ListParagraph"/>
        <w:numPr>
          <w:ilvl w:val="1"/>
          <w:numId w:val="2"/>
        </w:numPr>
        <w:spacing w:before="120" w:after="120" w:line="312" w:lineRule="auto"/>
        <w:jc w:val="both"/>
        <w:outlineLvl w:val="1"/>
        <w:rPr>
          <w:rFonts w:ascii="Times New Roman" w:hAnsi="Times New Roman"/>
          <w:b/>
          <w:bCs/>
          <w:color w:val="000000" w:themeColor="text1"/>
          <w:szCs w:val="26"/>
          <w:lang w:val="vi-VN"/>
        </w:rPr>
      </w:pPr>
      <w:bookmarkStart w:id="0" w:name="_Toc163732135"/>
      <w:bookmarkStart w:id="1" w:name="_Toc163732556"/>
      <w:bookmarkStart w:id="2" w:name="_Toc163732726"/>
      <w:bookmarkStart w:id="3" w:name="_Toc163732904"/>
      <w:bookmarkStart w:id="4" w:name="_Toc163734793"/>
      <w:bookmarkStart w:id="5" w:name="_Toc170975786"/>
      <w:bookmarkStart w:id="6" w:name="_Toc170977254"/>
      <w:bookmarkStart w:id="7" w:name="_Toc170977385"/>
      <w:r w:rsidRPr="00BE6750">
        <w:rPr>
          <w:rFonts w:ascii="Times New Roman" w:hAnsi="Times New Roman"/>
          <w:b/>
          <w:bCs/>
          <w:color w:val="000000" w:themeColor="text1"/>
          <w:szCs w:val="26"/>
          <w:lang w:val="vi-VN"/>
        </w:rPr>
        <w:t>Về mặt học thuật, lý luận</w:t>
      </w:r>
      <w:bookmarkEnd w:id="0"/>
      <w:bookmarkEnd w:id="1"/>
      <w:bookmarkEnd w:id="2"/>
      <w:bookmarkEnd w:id="3"/>
      <w:bookmarkEnd w:id="4"/>
      <w:bookmarkEnd w:id="5"/>
      <w:bookmarkEnd w:id="6"/>
      <w:bookmarkEnd w:id="7"/>
    </w:p>
    <w:p w14:paraId="0159F26E" w14:textId="77777777" w:rsidR="00BE6750" w:rsidRPr="00BE6750" w:rsidRDefault="00BE6750" w:rsidP="00BE6750">
      <w:pPr>
        <w:spacing w:before="120" w:after="120" w:line="312" w:lineRule="auto"/>
        <w:ind w:left="-2" w:firstLineChars="0" w:firstLine="569"/>
        <w:jc w:val="both"/>
        <w:rPr>
          <w:rFonts w:ascii="Times New Roman" w:hAnsi="Times New Roman" w:cs="Times New Roman"/>
          <w:color w:val="000000" w:themeColor="text1"/>
          <w:sz w:val="26"/>
          <w:szCs w:val="26"/>
          <w:lang w:val="vi-VN"/>
        </w:rPr>
      </w:pPr>
      <w:bookmarkStart w:id="8" w:name="_Toc163732136"/>
      <w:bookmarkStart w:id="9" w:name="_Toc163732557"/>
      <w:bookmarkStart w:id="10" w:name="_Toc163732727"/>
      <w:bookmarkStart w:id="11" w:name="_Toc163732905"/>
      <w:bookmarkStart w:id="12" w:name="_Toc163734794"/>
      <w:bookmarkStart w:id="13" w:name="_Toc170975787"/>
      <w:bookmarkStart w:id="14" w:name="_Toc170977255"/>
      <w:bookmarkStart w:id="15" w:name="_Toc170977386"/>
      <w:r w:rsidRPr="00BE6750">
        <w:rPr>
          <w:rFonts w:ascii="Times New Roman" w:hAnsi="Times New Roman" w:cs="Times New Roman"/>
          <w:bCs/>
          <w:i/>
          <w:iCs/>
          <w:color w:val="000000" w:themeColor="text1"/>
          <w:sz w:val="26"/>
          <w:szCs w:val="26"/>
          <w:lang w:val="vi-VN"/>
        </w:rPr>
        <w:t xml:space="preserve">Thứ nhất, </w:t>
      </w:r>
      <w:r w:rsidRPr="00BE6750">
        <w:rPr>
          <w:rFonts w:ascii="Times New Roman" w:hAnsi="Times New Roman" w:cs="Times New Roman"/>
          <w:color w:val="000000" w:themeColor="text1"/>
          <w:sz w:val="26"/>
          <w:szCs w:val="26"/>
          <w:lang w:val="vi-VN"/>
        </w:rPr>
        <w:t xml:space="preserve">luận án đã </w:t>
      </w:r>
      <w:r w:rsidRPr="00BE6750">
        <w:rPr>
          <w:rFonts w:ascii="Times New Roman" w:hAnsi="Times New Roman" w:cs="Times New Roman"/>
          <w:bCs/>
          <w:color w:val="000000" w:themeColor="text1"/>
          <w:sz w:val="26"/>
          <w:szCs w:val="26"/>
          <w:lang w:val="vi-VN"/>
        </w:rPr>
        <w:t xml:space="preserve">tập trung vào việc phân tích và phân loại các loại hình rủi ro mà các ngân hàng đối mặt, bao gồm rủi ro tín dụng, rủi ro thị trường, rủi ro hoạt động và rủi ro tín dụng đối tác. Đây là các rủi ro được đề cập trong trụ cột thứ 3 của khung Basel và Ngân hàng Thanh toán Quốc tế đã có hướng dẫn và yêu cầu CBTT. So với các nghiên cứu trước đây, chẳng hạn như </w:t>
      </w:r>
      <w:r w:rsidRPr="00BE6750">
        <w:rPr>
          <w:rFonts w:ascii="Times New Roman" w:hAnsi="Times New Roman" w:cs="Times New Roman"/>
          <w:bCs/>
          <w:color w:val="000000" w:themeColor="text1"/>
          <w:sz w:val="26"/>
          <w:szCs w:val="26"/>
          <w:lang w:val="vi-VN"/>
        </w:rPr>
        <w:fldChar w:fldCharType="begin" w:fldLock="1"/>
      </w:r>
      <w:r w:rsidRPr="00BE6750">
        <w:rPr>
          <w:rFonts w:ascii="Times New Roman" w:hAnsi="Times New Roman" w:cs="Times New Roman"/>
          <w:bCs/>
          <w:color w:val="000000" w:themeColor="text1"/>
          <w:sz w:val="26"/>
          <w:szCs w:val="26"/>
          <w:lang w:val="vi-VN"/>
        </w:rPr>
        <w:instrText>ADDIN CSL_CITATION {"citationItems":[{"id":"ITEM-1","itemData":{"author":[{"dropping-particle":"","family":"Barajas","given":"Adolfo","non-dropping-particle":"","parse-names":false,"suffix":""},{"dropping-particle":"","family":"Roberto","given":"Steiner","non-dropping-particle":"","parse-names":false,"suffix":""}],"id":"ITEM-1","issued":{"date-parts":[["2000"]]},"publisher":"IMF Working Paper","title":"Depositor Behavior and Market Discipline in Colombia","type":"article"},"uris":["http://www.mendeley.com/documents/?uuid=241db15e-437a-4924-ba5e-2c826c17c386"]},{"id":"ITEM-2","itemData":{"DOI":"10.1111/0022-1082.00354","ISSN":"00221082","abstract":"This paper empirically investigates two issues largely unexplored by the literature on market discipline. We evaluate the interaction between market discipline and deposit insurance and the impact of banking crises on market discipline. We focus on the experiences of Argentina, Chile, and Mexico during the 1980s and 1990s. We find that depositors discipline banks by withdrawing deposits and by requiring higher interest rates. Deposit insurance does not appear to diminish the extent of market discipline. Aggregate shocks affect deposits and interest rates during crises, regardless of bank fundamentals, and investors' responsiveness to bank risk taking increases in the aftermath of crises.","author":[{"dropping-particle":"","family":"Soledad","given":"Maria","non-dropping-particle":"","parse-names":false,"suffix":""},{"dropping-particle":"","family":"Peria","given":"Martinez","non-dropping-particle":"","parse-names":false,"suffix":""},{"dropping-particle":"","family":"Schmukler","given":"Sergio L.","non-dropping-particle":"","parse-names":false,"suffix":""}],"container-title":"Journal of Finance","id":"ITEM-2","issue":"3","issued":{"date-parts":[["2001"]]},"page":"1029-1051","title":"Do depositors punish banks for bad behavior? Market discipline, deposit insurance, and banking crises","type":"article-journal","volume":"56"},"uris":["http://www.mendeley.com/documents/?uuid=e2e9e448-ef21-4076-b067-4d4d75054d91"]},{"id":"ITEM-3","itemData":{"abstract":"This paper shows that systemic risk exerts a significant impact on the behavior of depositors, sometimes overshadowing their responses to standard bank fundamentals. Systemic risk can affect market discipline both regardless of and through bank fundamentals. First, worsening systemic conditions can directly threaten the value of deposits via dual agency problems. Second, systemic shocks can lead to a future deterioration of fundamentals and affect the exposure to systemic risk, not captured by standard fundamentals. Using data from the recent banking crises in Argentina and Uruguay, we show that market discipline is indeed quite robust once systemic risk is factored in. As the latter increases, the informational content of past fundamentals declines. These episodes also illustrate how few systemic shocks can trigger a run irrespective of ex-ante fundamentals. Overall, the evidence suggests that, in emerging economies, the notion of market discipline needs to account for systemic risk.","author":[{"dropping-particle":"","family":"Yeyati","given":"Eduardo Levy","non-dropping-particle":"","parse-names":false,"suffix":""},{"dropping-particle":"","family":"Peria","given":"Maria Soledad Martinez","non-dropping-particle":"","parse-names":false,"suffix":""},{"dropping-particle":"","family":"Schmukler","given":"Sergio","non-dropping-particle":"","parse-names":false,"suffix":""}],"container-title":"Centro de Investigación en Finanzas","id":"ITEM-3","issued":{"date-parts":[["2004"]]},"title":"Market Discipline under Systemic Risk: Evidence from Bank Runs in Emerging Economies","type":"article-journal","volume":"2004"},"uris":["http://www.mendeley.com/documents/?uuid=6de39d18-4844-4e88-808c-7c289745eba6"]},{"id":"ITEM-4","itemData":{"DOI":"10.1016/j.jmoneco.2003.04.001","ISSN":"01677152","abstract":"Cross-country evidence presented in this paper suggests that explicit deposit insurance reduces required deposit interest rates, while at the same time it lowers market discipline on bank risk taking. Internationally, deposit insurance schemes vary widely in their coverage, funding, and management. This reflects that there are widely differing views on how deposit insurance should optimally be structured. To inform this debate, we use a newly constructed data set of deposit insurance design features to examine how different design features affect deposit interest rates and market discipline. © 2003 Elsevier B.V. All rights reserved.","author":[{"dropping-particle":"","family":"Demirgüç-Kunt","given":"Asli","non-dropping-particle":"","parse-names":false,"suffix":""},{"dropping-particle":"","family":"Huizinga","given":"Harry","non-dropping-particle":"","parse-names":false,"suffix":""}],"container-title":"Statistics and Probability Letters","id":"ITEM-4","issue":"4","issued":{"date-parts":[["2004"]]},"page":"375-399","title":"Market discipline and deposit insurance","type":"article-journal","volume":"66"},"uris":["http://www.mendeley.com/documents/?uuid=da748ecf-a7d7-489b-81d3-3b591d40cdc3"]},{"id":"ITEM-5","itemData":{"DOI":"10.2139/ssrn.888681","ISSN":"1556-5068","abstract":"This paper studies the impact of explicit deposit insurance on market discipline in a framework that resembles a natural experiment. We improve upon previous studies by exploiting a unique combination of country-specific circumstances, design features, and data availability that allows us to distinguish between demand and supply effects. We show that deposit insurance causes a significant reduction in market discipline. We also show that the effect of deposit insurance depends on the coverage rate. When the coverage rate is more than 60 percent, market discipline is significantly reduced and it is completely eliminated when the coverage rate reaches 100 percent. Our results also suggest that most market discipline comes from large depositors and that the introduction of deposit insurance affected mainly those who were already active in imposing discipline. Our findings emphasize the need for binding coverage limits per depositor, high degrees of co-insurance, and tailor made deposit insurance systems that preserve the incentives of a critical mass of depositors that are willing and able to perform this function. ","author":[{"dropping-particle":"","family":"Ioannidou","given":"Vasso","non-dropping-particle":"","parse-names":false,"suffix":""},{"dropping-particle":"de","family":"Dreu","given":"Jan","non-dropping-particle":"","parse-names":false,"suffix":""}],"container-title":"SSRN Electronic Journal","id":"ITEM-5","issued":{"date-parts":[["2011"]]},"page":"1-40","title":"The Impact of Explicit Deposit Insurance on Market Discipline","type":"article-journal"},"uris":["http://www.mendeley.com/documents/?uuid=8637eb08-d146-4df1-a698-12d833e80522"]},{"id":"ITEM-6","itemData":{"DOI":"10.1016/j.jbankfin.2010.11.003","ISSN":"03784266","abstract":"Following the 1997/1998 financial crisis, Indonesian banks experienced major regulatory changes, including the adoption of the blanket guarantee scheme (BGS) in 1998, a limited guarantee (LG) in 2005, and changes in capital regulation in 1998 and 2001. We examine the impact of these regulatory changes on market discipline during the period 1995-2009. The price of deposits is used to measure market discipline in a dynamic panel data methodology on a sample of 104 commercial banks. We find a weakening of market discipline following the introduction of the BGS. The result is consistent with the deposit insurance scheme being credible in the lower capital requirement environment. The adoption of LG in a recovering economy also mitigates the role of market discipline. However, market discipline is more pronounced in listed banks than unlisted banks and in foreign banks than domestic banks. These results have important implications for banking regulation and supervision, particularly during a crisis period. © 2010 Elsevier B.V.","author":[{"dropping-particle":"","family":"Hadad","given":"Muliaman D.","non-dropping-particle":"","parse-names":false,"suffix":""},{"dropping-particle":"","family":"Agusman","given":"Agusman","non-dropping-particle":"","parse-names":false,"suffix":""},{"dropping-particle":"","family":"Monroe","given":"Gary S.","non-dropping-particle":"","parse-names":false,"suffix":""},{"dropping-particle":"","family":"Gasbarro","given":"Dominic","non-dropping-particle":"","parse-names":false,"suffix":""},{"dropping-particle":"","family":"Zumwalt","given":"James Kenton","non-dropping-particle":"","parse-names":false,"suffix":""}],"container-title":"Journal of Banking and Finance","id":"ITEM-6","issue":"6","issued":{"date-parts":[["2011"]]},"page":"1552-1562","publisher":"Elsevier B.V.","title":"Market discipline, financial crisis and regulatory changes: Evidence from Indonesian banks","type":"article-journal","volume":"35"},"uris":["http://www.mendeley.com/documents/?uuid=4d2ebb36-c5ba-4381-b02e-f47cf2435988"]},{"id":"ITEM-7","itemData":{"DOI":"10.1002/ijfe.1904","ISSN":"1076-9307","abstract":"The paper investigates the presence of market discipline in the banking sectors of India and Pakistan, using the CAMEL approach and the stringent calculations of liquidity and capital as per Basel II. It employs a fixed effects model to market discipline as reflected in the capital adequacy, asset quality profitability, management and liquidity of banks, with bank size and changes and GDP as control variables, for the years 2008 to 2017. The results show varying degrees of market discipline in both India and Pakistan, which manifest through different variables.","author":[{"dropping-particle":"","family":"Afzal","given":"Ayesha","non-dropping-particle":"","parse-names":false,"suffix":""},{"dropping-particle":"","family":"Mirza","given":"Nawazish","non-dropping-particle":"","parse-names":false,"suffix":""},{"dropping-particle":"","family":"Arshad","given":"Fatima","non-dropping-particle":"","parse-names":false,"suffix":""}],"container-title":"International Journal of Finance &amp; Economics","id":"ITEM-7","issue":"2","issued":{"date-parts":[["2021","4","21"]]},"page":"2251-2262","title":"Market discipline in South Asia: Evidence from commercial banking sector","type":"article-journal","volume":"26"},"uris":["http://www.mendeley.com/documents/?uuid=1dde37d9-4ceb-4545-92fd-3b7e0b2565f8"]}],"mendeley":{"formattedCitation":"(Afzal và c.s., 2021; Barajas &amp; Roberto, 2000; Demirgüç-Kunt &amp; Huizinga, 2004; Hadad và c.s., 2011; Ioannidou &amp; Dreu, 2011; Soledad và c.s., 2001; Yeyati và c.s., 2004)","plainTextFormattedCitation":"(Afzal và c.s., 2021; Barajas &amp; Roberto, 2000; Demirgüç-Kunt &amp; Huizinga, 2004; Hadad và c.s., 2011; Ioannidou &amp; Dreu, 2011; Soledad và c.s., 2001; Yeyati và c.s., 2004)","previouslyFormattedCitation":"(Afzal và c.s., 2021; Barajas &amp; Roberto, 2000; Demirgüç-Kunt &amp; Huizinga, 2004; Hadad và c.s., 2011; Ioannidou &amp; Dreu, 2011; Soledad và c.s., 2001; Yeyati và c.s., 2004)"},"properties":{"noteIndex":0},"schema":"https://github.com/citation-style-language/schema/raw/master/csl-citation.json"}</w:instrText>
      </w:r>
      <w:r w:rsidRPr="00BE6750">
        <w:rPr>
          <w:rFonts w:ascii="Times New Roman" w:hAnsi="Times New Roman" w:cs="Times New Roman"/>
          <w:bCs/>
          <w:color w:val="000000" w:themeColor="text1"/>
          <w:sz w:val="26"/>
          <w:szCs w:val="26"/>
          <w:lang w:val="vi-VN"/>
        </w:rPr>
        <w:fldChar w:fldCharType="separate"/>
      </w:r>
      <w:r w:rsidRPr="00BE6750">
        <w:rPr>
          <w:rFonts w:ascii="Times New Roman" w:hAnsi="Times New Roman" w:cs="Times New Roman"/>
          <w:bCs/>
          <w:noProof/>
          <w:color w:val="000000" w:themeColor="text1"/>
          <w:sz w:val="26"/>
          <w:szCs w:val="26"/>
          <w:lang w:val="vi-VN"/>
        </w:rPr>
        <w:t>(Afzal và c.s., 2021; Barajas &amp; Roberto, 2000; Demirgüç-Kunt &amp; Huizinga, 2004; Hadad và c.s., 2011; Ioannidou &amp; Dreu, 2011; Soledad và c.s., 2001; Yeyati và c.s., 2004)</w:t>
      </w:r>
      <w:r w:rsidRPr="00BE6750">
        <w:rPr>
          <w:rFonts w:ascii="Times New Roman" w:hAnsi="Times New Roman" w:cs="Times New Roman"/>
          <w:bCs/>
          <w:color w:val="000000" w:themeColor="text1"/>
          <w:sz w:val="26"/>
          <w:szCs w:val="26"/>
          <w:lang w:val="vi-VN"/>
        </w:rPr>
        <w:fldChar w:fldCharType="end"/>
      </w:r>
      <w:r w:rsidRPr="00BE6750">
        <w:rPr>
          <w:rFonts w:ascii="Times New Roman" w:hAnsi="Times New Roman" w:cs="Times New Roman"/>
          <w:color w:val="000000" w:themeColor="text1"/>
          <w:sz w:val="26"/>
          <w:szCs w:val="26"/>
          <w:lang w:val="vi-VN"/>
        </w:rPr>
        <w:t xml:space="preserve"> xem xét đến các thước đo rủi ro (chủ yếu theo mô hình CAMEL như an toàn vốn, chất lượng tài sản, quản lý, thu nhập và thanh khoản), các nguyên tắc cơ bản của ngân hàng (như nợ xấu, ROE, quy mô ngân hàng) thì việc đo lường dựa vào các hồ sơ rủi ro trước đây chủ yếu sẽ tập trung vào rủi ro tín dụng và thanh khoản mà bỏ qua các rủi ro như rủi ro thị trường hay rủi ro hoạt động. Do đó luận án đã tập trung vào việc đánh giá hồ sơ rủi ro căn cứ vào quy chuẩn theo Basel với 4 loại rủi ro cơ bản mà theo Basel khuyến nghị cần tăng công bố thông tin là rủi ro tín dụng, rủi ro tín dụng đối tác, rủi ro thị trường và rủi ro hoạt động. </w:t>
      </w:r>
      <w:r w:rsidRPr="00BE6750">
        <w:rPr>
          <w:rFonts w:ascii="Times New Roman" w:hAnsi="Times New Roman" w:cs="Times New Roman"/>
          <w:bCs/>
          <w:color w:val="000000" w:themeColor="text1"/>
          <w:sz w:val="26"/>
          <w:szCs w:val="26"/>
          <w:lang w:val="vi-VN"/>
        </w:rPr>
        <w:t>Việc hiểu rõ về loại hình rủi ro này là cần thiết để đánh giá tác động của chúng đối với kỷ luật thị trường (kỷ luật của những người gửi tiền và chủ nợ thứ cấp). Ngoài ra, luận án đã cho thấy các rủi ro này có thể gây ra sự mất lòng tin từ phía các bên liên quan, bao gồm cả những người gửi tiền và chủ nợ thứ cấp. Nghiên cứu có thể tập trung vào việc đánh giá cách mà sự mất lòng tin này ảnh hưởng đến hành vi và quyết định đầu tư của các bên liên quan.</w:t>
      </w:r>
    </w:p>
    <w:p w14:paraId="72B61FA7" w14:textId="18F2B204" w:rsidR="00BE6750" w:rsidRPr="00BE6750" w:rsidRDefault="00BE6750" w:rsidP="00BE6750">
      <w:pPr>
        <w:tabs>
          <w:tab w:val="left" w:pos="567"/>
        </w:tabs>
        <w:spacing w:before="120" w:after="120" w:line="312" w:lineRule="auto"/>
        <w:ind w:left="1" w:hanging="3"/>
        <w:jc w:val="both"/>
        <w:rPr>
          <w:rFonts w:ascii="Times New Roman" w:hAnsi="Times New Roman" w:cs="Times New Roman"/>
          <w:bCs/>
          <w:color w:val="000000" w:themeColor="text1"/>
          <w:sz w:val="26"/>
          <w:szCs w:val="26"/>
          <w:lang w:val="vi-VN"/>
        </w:rPr>
      </w:pPr>
      <w:r>
        <w:rPr>
          <w:rFonts w:ascii="Times New Roman" w:hAnsi="Times New Roman" w:cs="Times New Roman"/>
          <w:bCs/>
          <w:i/>
          <w:iCs/>
          <w:color w:val="000000" w:themeColor="text1"/>
          <w:sz w:val="26"/>
          <w:szCs w:val="26"/>
          <w:lang w:val="vi-VN"/>
        </w:rPr>
        <w:tab/>
      </w:r>
      <w:r>
        <w:rPr>
          <w:rFonts w:ascii="Times New Roman" w:hAnsi="Times New Roman" w:cs="Times New Roman"/>
          <w:bCs/>
          <w:i/>
          <w:iCs/>
          <w:color w:val="000000" w:themeColor="text1"/>
          <w:sz w:val="26"/>
          <w:szCs w:val="26"/>
          <w:lang w:val="vi-VN"/>
        </w:rPr>
        <w:tab/>
      </w:r>
      <w:r w:rsidRPr="00BE6750">
        <w:rPr>
          <w:rFonts w:ascii="Times New Roman" w:hAnsi="Times New Roman" w:cs="Times New Roman"/>
          <w:bCs/>
          <w:i/>
          <w:iCs/>
          <w:color w:val="000000" w:themeColor="text1"/>
          <w:sz w:val="26"/>
          <w:szCs w:val="26"/>
          <w:lang w:val="vi-VN"/>
        </w:rPr>
        <w:t>Thứ hai,</w:t>
      </w:r>
      <w:r w:rsidRPr="00BE6750">
        <w:rPr>
          <w:rFonts w:ascii="Times New Roman" w:hAnsi="Times New Roman" w:cs="Times New Roman"/>
          <w:bCs/>
          <w:color w:val="000000" w:themeColor="text1"/>
          <w:sz w:val="26"/>
          <w:szCs w:val="26"/>
          <w:lang w:val="vi-VN"/>
        </w:rPr>
        <w:t xml:space="preserve"> các quy tắc vốn Basel III được cho là nhằm mục đích đảm bảo hoạt động ngân hàng được mạnh mẽ hơn – nhưng tại các thị trường kém phát triển hơn ở Châu Á – Thái Bình Dương, việc đáp ứng các yêu cầu này là một thách thức lớn. Do đó, kết quả từ nghiên cứu cho thấy niềm tin của các TVTG thị trường sẽ gia tăng khi các ngân hàng thực thi theo các quy định về vốn và thanh khoản khung Basel III. Điều này, có ý nghĩa quan trọng trong việc khuyến khích các ngân hàng trong nhóm </w:t>
      </w:r>
      <w:r w:rsidRPr="00BE6750">
        <w:rPr>
          <w:rFonts w:ascii="Times New Roman" w:hAnsi="Times New Roman" w:cs="Times New Roman"/>
          <w:color w:val="000000" w:themeColor="text1"/>
          <w:sz w:val="26"/>
          <w:szCs w:val="26"/>
          <w:lang w:val="vi-VN"/>
        </w:rPr>
        <w:t>nền kinh tế</w:t>
      </w:r>
      <w:r w:rsidRPr="00BE6750" w:rsidDel="00202DD2">
        <w:rPr>
          <w:rFonts w:ascii="Times New Roman" w:hAnsi="Times New Roman" w:cs="Times New Roman"/>
          <w:bCs/>
          <w:color w:val="000000" w:themeColor="text1"/>
          <w:sz w:val="26"/>
          <w:szCs w:val="26"/>
          <w:lang w:val="vi-VN"/>
        </w:rPr>
        <w:t xml:space="preserve"> </w:t>
      </w:r>
      <w:r w:rsidRPr="00BE6750">
        <w:rPr>
          <w:rFonts w:ascii="Times New Roman" w:hAnsi="Times New Roman" w:cs="Times New Roman"/>
          <w:bCs/>
          <w:color w:val="000000" w:themeColor="text1"/>
          <w:sz w:val="26"/>
          <w:szCs w:val="26"/>
          <w:lang w:val="vi-VN"/>
        </w:rPr>
        <w:t xml:space="preserve">mới nổi đang trong giai đoạn thực thi Basel II và bước đầu tiến trình thực thi các quy định theo Basel III. Ngoài ra, luận án đã cũng cho thấy việc tăng tỉ lệ vốn và tăng tài sản thanh khoản quá cao sẽ có các phản ứng tiêu cực từ các thành viên tham gia thị trường đối với ngân hàng. Điều này đã được chứng minh trong luận án khi mà các ngân hàng tăng vốn quá cao có xu hướng tăng KLTT của những người gửi tiền và khi các ngân hàng tăng tài sản thanh khoản quá cao lại có xu hướng làm tăng KLTT của những chủ nợ thứ cấp. Kết quả này đã cũng cố thêm cho </w:t>
      </w:r>
      <w:r w:rsidRPr="00BE6750">
        <w:rPr>
          <w:rFonts w:ascii="Times New Roman" w:hAnsi="Times New Roman" w:cs="Times New Roman"/>
          <w:color w:val="000000" w:themeColor="text1"/>
          <w:sz w:val="26"/>
          <w:szCs w:val="26"/>
          <w:lang w:val="vi-VN"/>
        </w:rPr>
        <w:t xml:space="preserve">lý thuyết đòn bẩy tài chính của </w:t>
      </w:r>
      <w:r w:rsidRPr="00BE6750">
        <w:rPr>
          <w:rFonts w:ascii="Times New Roman" w:hAnsi="Times New Roman" w:cs="Times New Roman"/>
          <w:color w:val="000000" w:themeColor="text1"/>
          <w:sz w:val="26"/>
          <w:szCs w:val="26"/>
          <w:lang w:val="vi-VN"/>
        </w:rPr>
        <w:fldChar w:fldCharType="begin" w:fldLock="1"/>
      </w:r>
      <w:r w:rsidRPr="00BE6750">
        <w:rPr>
          <w:rFonts w:ascii="Times New Roman" w:hAnsi="Times New Roman" w:cs="Times New Roman"/>
          <w:color w:val="000000" w:themeColor="text1"/>
          <w:sz w:val="26"/>
          <w:szCs w:val="26"/>
          <w:lang w:val="vi-VN"/>
        </w:rPr>
        <w:instrText>ADDIN CSL_CITATION {"citationItems":[{"id":"ITEM-1","itemData":{"ISBN":"00028282","ISSN":"0036-8075","PMID":"17746758","abstract":"Presents a correction to the article \"The Cost of Capital, Corporation Finance and the Theory of Investment,\" published in the June 1958 issue of the periodical \"The American Economic Review.\"","author":[{"dropping-particle":"","family":"Modigliani","given":"Franco","non-dropping-particle":"","parse-names":false,"suffix":""},{"dropping-particle":"","family":"Miller","given":"Merton H. MH","non-dropping-particle":"","parse-names":false,"suffix":""}],"container-title":"American Economic Review","id":"ITEM-1","issue":"3","issued":{"date-parts":[["1963"]]},"page":"433-443","title":"American Economic Association Corporate Income Taxes and the Cost of Capital : A Correction","type":"article-journal","volume":"53"},"uris":["http://www.mendeley.com/documents/?uuid=4f431492-f282-3557-9162-c59ffc585868"]}],"mendeley":{"formattedCitation":"(Modigliani &amp; Miller, 1963)","plainTextFormattedCitation":"(Modigliani &amp; Miller, 1963)","previouslyFormattedCitation":"(Modigliani &amp; Miller, 1963)"},"properties":{"noteIndex":0},"schema":"https://github.com/citation-style-language/schema/raw/master/csl-citation.json"}</w:instrText>
      </w:r>
      <w:r w:rsidRPr="00BE6750">
        <w:rPr>
          <w:rFonts w:ascii="Times New Roman" w:hAnsi="Times New Roman" w:cs="Times New Roman"/>
          <w:color w:val="000000" w:themeColor="text1"/>
          <w:sz w:val="26"/>
          <w:szCs w:val="26"/>
          <w:lang w:val="vi-VN"/>
        </w:rPr>
        <w:fldChar w:fldCharType="separate"/>
      </w:r>
      <w:r w:rsidRPr="00BE6750">
        <w:rPr>
          <w:rFonts w:ascii="Times New Roman" w:hAnsi="Times New Roman" w:cs="Times New Roman"/>
          <w:noProof/>
          <w:color w:val="000000" w:themeColor="text1"/>
          <w:sz w:val="26"/>
          <w:szCs w:val="26"/>
          <w:lang w:val="vi-VN"/>
        </w:rPr>
        <w:t>(Modigliani &amp; Miller, 1963)</w:t>
      </w:r>
      <w:r w:rsidRPr="00BE6750">
        <w:rPr>
          <w:rFonts w:ascii="Times New Roman" w:hAnsi="Times New Roman" w:cs="Times New Roman"/>
          <w:color w:val="000000" w:themeColor="text1"/>
          <w:sz w:val="26"/>
          <w:szCs w:val="26"/>
          <w:lang w:val="vi-VN"/>
        </w:rPr>
        <w:fldChar w:fldCharType="end"/>
      </w:r>
      <w:r w:rsidRPr="00BE6750">
        <w:rPr>
          <w:rFonts w:ascii="Times New Roman" w:hAnsi="Times New Roman" w:cs="Times New Roman"/>
          <w:color w:val="000000" w:themeColor="text1"/>
          <w:sz w:val="26"/>
          <w:szCs w:val="26"/>
          <w:lang w:val="vi-VN"/>
        </w:rPr>
        <w:t xml:space="preserve"> và lý thuyết mô hình chuyển đổi rủi ro của </w:t>
      </w:r>
      <w:r w:rsidRPr="00BE6750">
        <w:rPr>
          <w:rFonts w:ascii="Times New Roman" w:hAnsi="Times New Roman" w:cs="Times New Roman"/>
          <w:color w:val="000000" w:themeColor="text1"/>
          <w:sz w:val="26"/>
          <w:szCs w:val="26"/>
          <w:lang w:val="vi-VN"/>
        </w:rPr>
        <w:fldChar w:fldCharType="begin" w:fldLock="1"/>
      </w:r>
      <w:r w:rsidRPr="00BE6750">
        <w:rPr>
          <w:rFonts w:ascii="Times New Roman" w:hAnsi="Times New Roman" w:cs="Times New Roman"/>
          <w:color w:val="000000" w:themeColor="text1"/>
          <w:sz w:val="26"/>
          <w:szCs w:val="26"/>
          <w:lang w:val="vi-VN"/>
        </w:rPr>
        <w:instrText>ADDIN CSL_CITATION {"citationItems":[{"id":"ITEM-1","itemData":{"DOI":"10.1016/0378-4266(80)90012-6","ISSN":"0378-4266","abstract":"A model is presented in which demand deposits backed by fractional currency reserves and public insurance can be beneficial. The model uses Samuelson's pure consumption-loans model. The case for demand deposits, reserves, and deposit insurance rests on costs of illiquidity and incomplete information. The effect of deposit insurance depends upon how, and at what cost, the government meets its insurer's obligation - something which is not specified in practice. It remains possible that demand deposits and deposit insurance are a distortion, and reserve requirements serve only to limit the size of this distortion. © 1980.","author":[{"dropping-particle":"","family":"Bryant","given":"John","non-dropping-particle":"","parse-names":false,"suffix":""}],"container-title":"Journal of Banking &amp; Finance","id":"ITEM-1","issue":"4","issued":{"date-parts":[["1980","12","1"]]},"page":"335-344","publisher":"North-Holland","title":"A model of reserves, bank runs, and deposit insurance","type":"article-journal","volume":"4"},"uris":["http://www.mendeley.com/documents/?uuid=1cb8295a-0bff-3a48-9f87-60764ec9f141"]},{"id":"ITEM-2","itemData":{"DOI":"10.1086/261155","ISSN":"1537534X","abstract":"This paper shows that bank deposit contracts can provide allocations superior to those of exchange markets, offering an explanation of how banks subject to runs can attract deposits. Investors face privately observed risks which lead to a demand for liquidity. Traditional demand deposit contracts which provide liquidity have multiple equilibria, one of which is a bank run. Bank runs in the model cause real economic damage, rather than simply reflecting other problems. Contracts which can prevent runs are studied, and the analysis shows that there are circumstances when government provision of deposit insurance can produce superior contracts.","author":[{"dropping-particle":"","family":"Diamond","given":"Douglas W.","non-dropping-particle":"","parse-names":false,"suffix":""},{"dropping-particle":"","family":"Dybvig","given":"Philip H.","non-dropping-particle":"","parse-names":false,"suffix":""}],"container-title":"Journal of Political Economy","id":"ITEM-2","issue":"3","issued":{"date-parts":[["1983","10","22"]]},"page":"401-419","publisher":" The University of Chicago Press ","title":"Bank runs, deposit insurance, and liquidity","type":"article-journal","volume":"91"},"uris":["http://www.mendeley.com/documents/?uuid=4ca6d6f4-e092-3afa-a006-784fa6b6fc22"]}],"mendeley":{"formattedCitation":"(Bryant, 1980; Diamond &amp; Dybvig, 1983b)","plainTextFormattedCitation":"(Bryant, 1980; Diamond &amp; Dybvig, 1983b)","previouslyFormattedCitation":"(Bryant, 1980; Diamond &amp; Dybvig, 1983b)"},"properties":{"noteIndex":0},"schema":"https://github.com/citation-style-language/schema/raw/master/csl-citation.json"}</w:instrText>
      </w:r>
      <w:r w:rsidRPr="00BE6750">
        <w:rPr>
          <w:rFonts w:ascii="Times New Roman" w:hAnsi="Times New Roman" w:cs="Times New Roman"/>
          <w:color w:val="000000" w:themeColor="text1"/>
          <w:sz w:val="26"/>
          <w:szCs w:val="26"/>
          <w:lang w:val="vi-VN"/>
        </w:rPr>
        <w:fldChar w:fldCharType="separate"/>
      </w:r>
      <w:r w:rsidRPr="00BE6750">
        <w:rPr>
          <w:rFonts w:ascii="Times New Roman" w:hAnsi="Times New Roman" w:cs="Times New Roman"/>
          <w:noProof/>
          <w:color w:val="000000" w:themeColor="text1"/>
          <w:sz w:val="26"/>
          <w:szCs w:val="26"/>
          <w:lang w:val="vi-VN"/>
        </w:rPr>
        <w:t>(Bryant, 1980; Diamond &amp; Dybvig, 1983b)</w:t>
      </w:r>
      <w:r w:rsidRPr="00BE6750">
        <w:rPr>
          <w:rFonts w:ascii="Times New Roman" w:hAnsi="Times New Roman" w:cs="Times New Roman"/>
          <w:color w:val="000000" w:themeColor="text1"/>
          <w:sz w:val="26"/>
          <w:szCs w:val="26"/>
          <w:lang w:val="vi-VN"/>
        </w:rPr>
        <w:fldChar w:fldCharType="end"/>
      </w:r>
      <w:r w:rsidRPr="00BE6750">
        <w:rPr>
          <w:rFonts w:ascii="Times New Roman" w:hAnsi="Times New Roman" w:cs="Times New Roman"/>
          <w:color w:val="000000" w:themeColor="text1"/>
          <w:sz w:val="26"/>
          <w:szCs w:val="26"/>
          <w:lang w:val="vi-VN"/>
        </w:rPr>
        <w:t xml:space="preserve"> trong lĩnh vực kỷ luật thị trường.</w:t>
      </w:r>
    </w:p>
    <w:p w14:paraId="4FE944A0" w14:textId="7B4D4E3B" w:rsidR="00BE6750" w:rsidRPr="00BE6750" w:rsidRDefault="00BE6750" w:rsidP="00BE6750">
      <w:pPr>
        <w:tabs>
          <w:tab w:val="left" w:pos="567"/>
        </w:tabs>
        <w:spacing w:before="120" w:after="120" w:line="312" w:lineRule="auto"/>
        <w:ind w:left="1" w:hanging="3"/>
        <w:jc w:val="both"/>
        <w:rPr>
          <w:rFonts w:ascii="Times New Roman" w:hAnsi="Times New Roman" w:cs="Times New Roman"/>
          <w:color w:val="000000" w:themeColor="text1"/>
          <w:sz w:val="26"/>
          <w:szCs w:val="26"/>
          <w:lang w:val="vi-VN"/>
        </w:rPr>
      </w:pPr>
      <w:r>
        <w:rPr>
          <w:rFonts w:ascii="Times New Roman" w:hAnsi="Times New Roman" w:cs="Times New Roman"/>
          <w:i/>
          <w:iCs/>
          <w:color w:val="000000" w:themeColor="text1"/>
          <w:sz w:val="26"/>
          <w:szCs w:val="26"/>
          <w:lang w:val="vi-VN"/>
        </w:rPr>
        <w:lastRenderedPageBreak/>
        <w:tab/>
      </w:r>
      <w:r>
        <w:rPr>
          <w:rFonts w:ascii="Times New Roman" w:hAnsi="Times New Roman" w:cs="Times New Roman"/>
          <w:i/>
          <w:iCs/>
          <w:color w:val="000000" w:themeColor="text1"/>
          <w:sz w:val="26"/>
          <w:szCs w:val="26"/>
          <w:lang w:val="vi-VN"/>
        </w:rPr>
        <w:tab/>
      </w:r>
      <w:r w:rsidRPr="00BE6750">
        <w:rPr>
          <w:rFonts w:ascii="Times New Roman" w:hAnsi="Times New Roman" w:cs="Times New Roman"/>
          <w:i/>
          <w:iCs/>
          <w:color w:val="000000" w:themeColor="text1"/>
          <w:sz w:val="26"/>
          <w:szCs w:val="26"/>
          <w:lang w:val="vi-VN"/>
        </w:rPr>
        <w:t>Thứ ba,</w:t>
      </w:r>
      <w:r w:rsidRPr="00BE6750">
        <w:rPr>
          <w:rFonts w:ascii="Times New Roman" w:hAnsi="Times New Roman" w:cs="Times New Roman"/>
          <w:color w:val="000000" w:themeColor="text1"/>
          <w:sz w:val="26"/>
          <w:szCs w:val="26"/>
          <w:lang w:val="vi-VN"/>
        </w:rPr>
        <w:t xml:space="preserve"> luận án đã cung cấp thêm các bằng chứng lý luận về tác động của kỷ luật thị trường (kỷ luật của những người gửi tiền và những chủ nợ thứ cấp) đến hiệu quả ngân hàng, đặc biệt là đối với các ngân hàng khu vực Châu Á – Thái Bình Dương. So với các kết quả trước đây, </w:t>
      </w:r>
      <w:r w:rsidRPr="00BE6750">
        <w:rPr>
          <w:rFonts w:ascii="Times New Roman" w:hAnsi="Times New Roman" w:cs="Times New Roman"/>
          <w:bCs/>
          <w:color w:val="000000" w:themeColor="text1"/>
          <w:sz w:val="26"/>
          <w:szCs w:val="26"/>
          <w:lang w:val="vi-VN"/>
        </w:rPr>
        <w:t xml:space="preserve">ảnh hưởng của KLTT đến hiệu quả ngân hàng hiện nay vẫn còn nhiều tranh luận trái chiều. Chẳng hạn như </w:t>
      </w:r>
      <w:r w:rsidRPr="00BE6750">
        <w:rPr>
          <w:rFonts w:ascii="Times New Roman" w:hAnsi="Times New Roman" w:cs="Times New Roman"/>
          <w:bCs/>
          <w:color w:val="000000" w:themeColor="text1"/>
          <w:sz w:val="26"/>
          <w:szCs w:val="26"/>
          <w:lang w:val="vi-VN"/>
        </w:rPr>
        <w:fldChar w:fldCharType="begin" w:fldLock="1"/>
      </w:r>
      <w:r w:rsidRPr="00BE6750">
        <w:rPr>
          <w:rFonts w:ascii="Times New Roman" w:hAnsi="Times New Roman" w:cs="Times New Roman"/>
          <w:bCs/>
          <w:color w:val="000000" w:themeColor="text1"/>
          <w:sz w:val="26"/>
          <w:szCs w:val="26"/>
          <w:lang w:val="vi-VN"/>
        </w:rPr>
        <w:instrText>ADDIN CSL_CITATION {"citationItems":[{"id":"ITEM-1","itemData":{"DOI":"10.1016/j.jfi.2003.06.002","ISSN":"10429573","abstract":"This paper uses our new database on bank regulation and supervision in 107 countries to assess the relationship between specific regulatory and supervisory practices and banking-sector development, efficiency, and fragility. The paper examines: (i) regulatory restrictions on bank activities and the mixing of banking and commerce; (ii) regulations on domestic and foreign bank entry; (iii) regulations on capital adequacy; (iv) deposit insurance system design features; (v) supervisory power, independence, and resources; (vi) loan classification stringency, provisioning standards, and diversification guidelines; (vii) regulations fostering information disclosure and private-sector monitoring of banks; and (viii) government ownership. The results, albeit tentative, raise a cautionary flag regarding government policies that rely excessively on direct government supervision and regulation of bank activities. The findings instead suggest that policies that rely on guidelines that (1) force accurate information disclosure, (2) empower private-sector corporate control of banks, and (3) foster incentives for private agents to exert corporate control work best to promote bank development, performance and stability. © 2003 Elsevier Inc. All rights reserved.","author":[{"dropping-particle":"","family":"Barth","given":"James R.","non-dropping-particle":"","parse-names":false,"suffix":""},{"dropping-particle":"","family":"Caprio","given":"Gerard","non-dropping-particle":"","parse-names":false,"suffix":""},{"dropping-particle":"","family":"Levine","given":"Ross","non-dropping-particle":"","parse-names":false,"suffix":""}],"container-title":"Journal of Financial Intermediation","id":"ITEM-1","issue":"2","issued":{"date-parts":[["2004","4","1"]]},"page":"205-248","publisher":"Academic Press Inc.","title":"Bank regulation and supervision: What works best?","type":"article-journal","volume":"13"},"uris":["http://www.mendeley.com/documents/?uuid=0f49a463-6dd6-3b18-8bb3-bd7b53524606"]},{"id":"ITEM-2","itemData":{"author":[{"dropping-particle":"","family":"Levine","given":"Ross","non-dropping-particle":"","parse-names":false,"suffix":""}],"container-title":"Working Paper No237","id":"ITEM-2","issued":{"date-parts":[["2005"]]},"title":"The Microeconomic Effects of Different Approaches to Bank Supervision","type":"article-journal"},"uris":["http://www.mendeley.com/documents/?uuid=61052723-c5f5-3a98-bfa0-c1d72ffa969e"]}],"mendeley":{"formattedCitation":"(Barth và c.s., 2004; Levine, 2005)","plainTextFormattedCitation":"(Barth và c.s., 2004; Levine, 2005)","previouslyFormattedCitation":"(Barth và c.s., 2004; Levine, 2005)"},"properties":{"noteIndex":0},"schema":"https://github.com/citation-style-language/schema/raw/master/csl-citation.json"}</w:instrText>
      </w:r>
      <w:r w:rsidRPr="00BE6750">
        <w:rPr>
          <w:rFonts w:ascii="Times New Roman" w:hAnsi="Times New Roman" w:cs="Times New Roman"/>
          <w:bCs/>
          <w:color w:val="000000" w:themeColor="text1"/>
          <w:sz w:val="26"/>
          <w:szCs w:val="26"/>
          <w:lang w:val="vi-VN"/>
        </w:rPr>
        <w:fldChar w:fldCharType="separate"/>
      </w:r>
      <w:r w:rsidRPr="00BE6750">
        <w:rPr>
          <w:rFonts w:ascii="Times New Roman" w:hAnsi="Times New Roman" w:cs="Times New Roman"/>
          <w:bCs/>
          <w:noProof/>
          <w:color w:val="000000" w:themeColor="text1"/>
          <w:sz w:val="26"/>
          <w:szCs w:val="26"/>
          <w:lang w:val="vi-VN"/>
        </w:rPr>
        <w:t>(Barth và c.s., 2004; Levine, 2005)</w:t>
      </w:r>
      <w:r w:rsidRPr="00BE6750">
        <w:rPr>
          <w:rFonts w:ascii="Times New Roman" w:hAnsi="Times New Roman" w:cs="Times New Roman"/>
          <w:bCs/>
          <w:color w:val="000000" w:themeColor="text1"/>
          <w:sz w:val="26"/>
          <w:szCs w:val="26"/>
          <w:lang w:val="vi-VN"/>
        </w:rPr>
        <w:fldChar w:fldCharType="end"/>
      </w:r>
      <w:r w:rsidRPr="00BE6750">
        <w:rPr>
          <w:rFonts w:ascii="Times New Roman" w:hAnsi="Times New Roman" w:cs="Times New Roman"/>
          <w:bCs/>
          <w:color w:val="000000" w:themeColor="text1"/>
          <w:sz w:val="26"/>
          <w:szCs w:val="26"/>
          <w:lang w:val="vi-VN"/>
        </w:rPr>
        <w:t xml:space="preserve"> </w:t>
      </w:r>
      <w:proofErr w:type="spellStart"/>
      <w:r w:rsidRPr="00BE6750">
        <w:rPr>
          <w:rFonts w:ascii="Times New Roman" w:hAnsi="Times New Roman" w:cs="Times New Roman"/>
          <w:color w:val="000000" w:themeColor="text1"/>
          <w:sz w:val="26"/>
          <w:szCs w:val="26"/>
        </w:rPr>
        <w:t>cung</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cấp</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bằng</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chứng</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rằng</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chỉ</w:t>
      </w:r>
      <w:proofErr w:type="spellEnd"/>
      <w:r w:rsidRPr="00BE6750">
        <w:rPr>
          <w:rFonts w:ascii="Times New Roman" w:hAnsi="Times New Roman" w:cs="Times New Roman"/>
          <w:color w:val="000000" w:themeColor="text1"/>
          <w:sz w:val="26"/>
          <w:szCs w:val="26"/>
        </w:rPr>
        <w:t xml:space="preserve"> </w:t>
      </w:r>
      <w:r w:rsidRPr="00BE6750">
        <w:rPr>
          <w:rFonts w:ascii="Times New Roman" w:hAnsi="Times New Roman" w:cs="Times New Roman"/>
          <w:color w:val="000000" w:themeColor="text1"/>
          <w:sz w:val="26"/>
          <w:szCs w:val="26"/>
          <w:lang w:val="vi-VN"/>
        </w:rPr>
        <w:t>KLTT</w:t>
      </w:r>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mới</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có</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tác</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động</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đến</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hiệu</w:t>
      </w:r>
      <w:proofErr w:type="spellEnd"/>
      <w:r w:rsidRPr="00BE6750">
        <w:rPr>
          <w:rFonts w:ascii="Times New Roman" w:hAnsi="Times New Roman" w:cs="Times New Roman"/>
          <w:color w:val="000000" w:themeColor="text1"/>
          <w:sz w:val="26"/>
          <w:szCs w:val="26"/>
          <w:lang w:val="vi-VN"/>
        </w:rPr>
        <w:t xml:space="preserve"> quả</w:t>
      </w:r>
      <w:r w:rsidRPr="00BE6750">
        <w:rPr>
          <w:rFonts w:ascii="Times New Roman" w:hAnsi="Times New Roman" w:cs="Times New Roman"/>
          <w:color w:val="000000" w:themeColor="text1"/>
          <w:sz w:val="26"/>
          <w:szCs w:val="26"/>
        </w:rPr>
        <w:t xml:space="preserve"> </w:t>
      </w:r>
      <w:r w:rsidRPr="00BE6750">
        <w:rPr>
          <w:rFonts w:ascii="Times New Roman" w:hAnsi="Times New Roman" w:cs="Times New Roman"/>
          <w:color w:val="000000" w:themeColor="text1"/>
          <w:sz w:val="26"/>
          <w:szCs w:val="26"/>
          <w:lang w:val="vi-VN"/>
        </w:rPr>
        <w:t xml:space="preserve">ngân hàng; ngược lại </w:t>
      </w:r>
      <w:r w:rsidRPr="00BE6750">
        <w:rPr>
          <w:rFonts w:ascii="Times New Roman" w:hAnsi="Times New Roman" w:cs="Times New Roman"/>
          <w:color w:val="000000" w:themeColor="text1"/>
          <w:sz w:val="26"/>
          <w:szCs w:val="26"/>
          <w:lang w:val="vi-VN"/>
        </w:rPr>
        <w:fldChar w:fldCharType="begin" w:fldLock="1"/>
      </w:r>
      <w:r w:rsidRPr="00BE6750">
        <w:rPr>
          <w:rFonts w:ascii="Times New Roman" w:hAnsi="Times New Roman" w:cs="Times New Roman"/>
          <w:color w:val="000000" w:themeColor="text1"/>
          <w:sz w:val="26"/>
          <w:szCs w:val="26"/>
          <w:lang w:val="vi-VN"/>
        </w:rPr>
        <w:instrText>ADDIN CSL_CITATION {"citationItems":[{"id":"ITEM-1","itemData":{"DOI":"10.1016/j.jfs.2014.09.005","ISSN":"15723089","abstract":"We examine the international transmission of liquidity shocks from multinational bank holding companies to their subsidiaries during the financial crisis of 2008. Our results demonstrate that a subsidiary's reduction in lending is strongly related to its parent bank's lending via the interbank market. While subsidiaries that were dependent on interbank financing increased their credit supply prior to the crisis, they reduced their lending activities during the crisis. Additionally, we observe that interbank-dependent subsidiaries tried to change their funding strategy when they were unable to increase their deposit growth significantly during the crisis. During the crisis, subsidiaries could not rely on their parent banks' support via the interbank market and encountered problems in attracting new depositors, which could explain the significant decline in lending during the financial crisis. These findings highlight the need to regulate and monitor multinational funding strategies, especially in the interbank market.","author":[{"dropping-particle":"","family":"Allen","given":"Franklin","non-dropping-particle":"","parse-names":false,"suffix":""},{"dropping-particle":"","family":"Hryckiewicz","given":"Aneta","non-dropping-particle":"","parse-names":false,"suffix":""},{"dropping-particle":"","family":"Kowalewski","given":"Oskar","non-dropping-particle":"","parse-names":false,"suffix":""},{"dropping-particle":"","family":"Tümer-Alkan","given":"Günseli","non-dropping-particle":"","parse-names":false,"suffix":""}],"container-title":"Journal of Financial Stability","id":"ITEM-1","issued":{"date-parts":[["2014"]]},"page":"112-126","title":"Transmission of financial shocks in loan and deposit markets: Role of interbank borrowing and market monitoring","type":"article-journal","volume":"15"},"uris":["http://www.mendeley.com/documents/?uuid=49425118-f4ad-4e9d-87cb-e44e7a908897"]},{"id":"ITEM-2","itemData":{"DOI":"10.2139/ssrn.207148","ISSN":"1556-5068","abstract":"As the banking business grows more complex, government supervisors of banks seem increasingly willing to share the role of policing bank risk with private investors, especially bondholders. This paper investigates the disciplinary role of markets using bond spreads, ratings, and bank portfolio data on over 4,100 new bonds issued between 1993 and 1998, including almost 600 bond issues by banks and bank holding companies. We find that the bond spread/rating relationship is the same for the bank issues as for nonbank issues, especially among the investment grade issues. This suggests that the bond market prices public measures of bank risk efficiently. Investors also look beyond the ratings, as spreads on the bank issues depend on the underlying portfolio of assets and loans. Banks contemplating a shift into riskier activities like trading, for example, can expect to pay higher spreads as a result. That is market discipline. The market, however, appears relatively soft on bigger banks and less transparent banks, pointing to possible slippage in the disciplinary mechanism for banks either considered too big to fail or too hard to understand by the bond market.","author":[{"dropping-particle":"","family":"Morgan","given":"Donald P.","non-dropping-particle":"","parse-names":false,"suffix":""},{"dropping-particle":"","family":"Stiroh","given":"Kevin J.","non-dropping-particle":"","parse-names":false,"suffix":""}],"container-title":"FRB of New York Staff Report No95","id":"ITEM-2","issued":{"date-parts":[["1999"]]},"title":"Bond Market Discipline of Banks: Is the Market Tough Enough?","type":"article-journal"},"uris":["http://www.mendeley.com/documents/?uuid=cd150a4e-bce7-4c5c-bbd5-a74fc8d246ae"]},{"id":"ITEM-3","itemData":{"DOI":"10.2139/SSRN.1657836","abstract":"I test the market discipline of bank risk hypothesis by examining whether banks choose risk management policies that account for the risk preferences of subordinated debtholders. Using around 500,000 quarterly observations on the population of U.S. insured commercial banks over the 1995-2009 period, I document that the ratio of subordinated debt affects bank risk management decisions consistent with the market discipline hypothesis only when subordinated debt is held by the parent holding company. In particular, the subordinated debt ratio increases the likelihood and the extent of interest rate derivatives use for risk management purposes at BHC-affiliated banks, where subordinated debtholders have a better access to information needed for monitoring and control rights provided by equity ownership. At non-affiliated banks, a higher subordinated debt ratio leads to risk management decisions consistent with moral hazard behavior. The analysis also shows that the too-big-to-fail protection prevents market discipline even at BHC-affiliated banks.","author":[{"dropping-particle":"","family":"Belkhir","given":"Mohamed","non-dropping-particle":"","parse-names":false,"suffix":""}],"container-title":"SSRN Electronic Journal","id":"ITEM-3","issued":{"date-parts":[["2010","8","12"]]},"publisher":"Elsevier BV","title":"Market Discipline of Bank Risk and the Too-Big-To-Fail Protection: Evidence from Risk Management Decisions","type":"article-journal"},"uris":["http://www.mendeley.com/documents/?uuid=d61b6124-9a8a-36ff-aa1b-414f9ae3fe1a"]},{"id":"ITEM-4","itemData":{"DOI":"10.1016/j.jbankfin.2012.11.015","ISSN":"03784266","abstract":"This paper investigates the dynamics between the financial freedom counterparts of the economic freedom index drawn from the Heritage Foundation database and bank efficiency levels. We rely on a large sample of commercial banks operating in the 27 European Union member states over the 2000s. After estimating bank-specific efficiency scores using Data Envelopment Analysis (DEA), we develop a truncated regression model combined with bootstrapped confidence intervals to test our main hypotheses. Results suggest that the higher the degree of an economy's financial freedom, the higher the benefits for banks in terms of cost advantages and overall efficiency. Our results also show that the effects of financial freedom on bank efficiency tend to be more pronounced in countries with freer political systems in which governments formulate and implement sound policies and higher quality governance. © 2012 Elsevier B.V.","author":[{"dropping-particle":"","family":"Chortareas","given":"Georgios E.","non-dropping-particle":"","parse-names":false,"suffix":""},{"dropping-particle":"","family":"Girardone","given":"Claudia","non-dropping-particle":"","parse-names":false,"suffix":""},{"dropping-particle":"","family":"Ventouri","given":"Alexia","non-dropping-particle":"","parse-names":false,"suffix":""}],"container-title":"Journal of Banking and Finance","id":"ITEM-4","issue":"4","issued":{"date-parts":[["2013"]]},"page":"1223-1231","title":"Financial freedom and bank efficiency: Evidence from the European Union","type":"article-journal","volume":"37"},"uris":["http://www.mendeley.com/documents/?uuid=36ad5d3b-ad59-34c0-bd8b-9ca079102cbf"]},{"id":"ITEM-5","itemData":{"DOI":"10.1016/j.asieco.2015.06.001","ISSN":"10490078","abstract":"Using stochastic frontier analysis, this paper has examined the impact of Basel II on the cost efficiency of Philippine commercial banks from 2001 to 2011. The overall mean cost efficiency estimate is 0.75, indicating substantial inefficiencies in the banks averaging to 25% of total costs. Findings show that higher capital requirement tends to improve the cost efficiency but more powerful supervisors can adversely affect the efficiency of the banks. The other potential correlates that may help explain the efficiency of the banks are risk and asset quality and bank-specific variables. From a policy perspective, this study is informative to policymakers on the general direction in which to proceed with reforms (i.e., maintain higher capital requirements, curtail powerful supervisors, and enhance private monitoring) and in identifying factors that could contribute to banks' efficiency especially in light of the newly implemented Basel III in the country. In effect, this paper also assesses the readiness of the banks toward the implementation of Basel III.","author":[{"dropping-particle":"V.","family":"Manlagnit","given":"Maria Chelo","non-dropping-particle":"","parse-names":false,"suffix":""}],"container-title":"Journal of Asian Economics","id":"ITEM-5","issued":{"date-parts":[["2015"]]},"page":"72-85","publisher":"Elsevier Inc.","title":"Basel regulations and banks' efficiency: The case of the Philippines","type":"article-journal","volume":"39"},"uris":["http://www.mendeley.com/documents/?uuid=66a9b750-6e55-417e-b1d8-291d345fa1f3"]}],"mendeley":{"formattedCitation":"(Allen và c.s., 2014a; Belkhir, 2010; Chortareas và c.s., 2013; Manlagnit, 2015; Morgan &amp; Stiroh, 1999)","manualFormatting":"(Allen và c.s., 2014; Belkhir, 2010; Chortareas và c.s., 2013; Manlagnit, 2015; Morgan &amp; Stiroh, 1999)","plainTextFormattedCitation":"(Allen và c.s., 2014a; Belkhir, 2010; Chortareas và c.s., 2013; Manlagnit, 2015; Morgan &amp; Stiroh, 1999)","previouslyFormattedCitation":"(Allen và c.s., 2014a; Belkhir, 2010; Chortareas và c.s., 2013; Manlagnit, 2015; Morgan &amp; Stiroh, 1999)"},"properties":{"noteIndex":0},"schema":"https://github.com/citation-style-language/schema/raw/master/csl-citation.json"}</w:instrText>
      </w:r>
      <w:r w:rsidRPr="00BE6750">
        <w:rPr>
          <w:rFonts w:ascii="Times New Roman" w:hAnsi="Times New Roman" w:cs="Times New Roman"/>
          <w:color w:val="000000" w:themeColor="text1"/>
          <w:sz w:val="26"/>
          <w:szCs w:val="26"/>
          <w:lang w:val="vi-VN"/>
        </w:rPr>
        <w:fldChar w:fldCharType="separate"/>
      </w:r>
      <w:r w:rsidRPr="00BE6750">
        <w:rPr>
          <w:rFonts w:ascii="Times New Roman" w:hAnsi="Times New Roman" w:cs="Times New Roman"/>
          <w:noProof/>
          <w:color w:val="000000" w:themeColor="text1"/>
          <w:sz w:val="26"/>
          <w:szCs w:val="26"/>
          <w:lang w:val="vi-VN"/>
        </w:rPr>
        <w:t>(Allen và c.s., 2014; Belkhir, 2010; Chortareas và c.s., 2013; Manlagnit, 2015; Morgan &amp; Stiroh, 1999)</w:t>
      </w:r>
      <w:r w:rsidRPr="00BE6750">
        <w:rPr>
          <w:rFonts w:ascii="Times New Roman" w:hAnsi="Times New Roman" w:cs="Times New Roman"/>
          <w:color w:val="000000" w:themeColor="text1"/>
          <w:sz w:val="26"/>
          <w:szCs w:val="26"/>
          <w:lang w:val="vi-VN"/>
        </w:rPr>
        <w:fldChar w:fldCharType="end"/>
      </w:r>
      <w:r w:rsidRPr="00BE6750">
        <w:rPr>
          <w:rFonts w:ascii="Times New Roman" w:hAnsi="Times New Roman" w:cs="Times New Roman"/>
          <w:color w:val="000000" w:themeColor="text1"/>
          <w:sz w:val="26"/>
          <w:szCs w:val="26"/>
          <w:lang w:val="vi-VN"/>
        </w:rPr>
        <w:t xml:space="preserve"> lại nhận thấy rằng KLTT không có ý nghĩa giải thích hiệu quả hoạt động ngân hàng. Bên cạnh đó nghiên cứu của  </w:t>
      </w:r>
      <w:r w:rsidRPr="00BE6750">
        <w:rPr>
          <w:rFonts w:ascii="Times New Roman" w:hAnsi="Times New Roman" w:cs="Times New Roman"/>
          <w:color w:val="000000" w:themeColor="text1"/>
          <w:sz w:val="26"/>
          <w:szCs w:val="26"/>
          <w:lang w:val="vi-VN"/>
        </w:rPr>
        <w:fldChar w:fldCharType="begin" w:fldLock="1"/>
      </w:r>
      <w:r w:rsidRPr="00BE6750">
        <w:rPr>
          <w:rFonts w:ascii="Times New Roman" w:hAnsi="Times New Roman" w:cs="Times New Roman"/>
          <w:color w:val="000000" w:themeColor="text1"/>
          <w:sz w:val="26"/>
          <w:szCs w:val="26"/>
          <w:lang w:val="vi-VN"/>
        </w:rPr>
        <w:instrText>ADDIN CSL_CITATION {"citationItems":[{"id":"ITEM-1","itemData":{"DOI":"10.1016/j.irfa.2009.07.003","ISSN":"10575219","abstract":"This paper uses stochastic frontier analysis to provide international evidence on the impact of the regulatory and supervision framework on bank efficiency. Our dataset consists of 2853 observations from 615 publicly quoted commercial banks operating in 74 countries during the period 2000-2004. We investigate the impact of regulations related to the three pillars of Basel II (i.e. capital adequacy requirements, official supervisory power, and market discipline mechanisms), as well as restrictions on bank activities, on cost and profit efficiency of banks, while controlling for other country-specific characteristics. Our results suggest that banking regulations that enhance market discipline and empower the supervisory power of the authorities increase both cost and profit efficiency of banks. In contrast, stricter capital requirements improve cost efficiency but reduce profit efficiency, while restrictions on bank activities have the opposite effect, reducing cost efficiency but improving profit efficiency. © 2009 Elsevier Inc. All rights reserved.","author":[{"dropping-particle":"","family":"Pasiouras","given":"Fotios","non-dropping-particle":"","parse-names":false,"suffix":""},{"dropping-particle":"","family":"Tanna","given":"Sailesh","non-dropping-particle":"","parse-names":false,"suffix":""},{"dropping-particle":"","family":"Zopounidis","given":"Constantin","non-dropping-particle":"","parse-names":false,"suffix":""}],"container-title":"International Review of Financial Analysis","id":"ITEM-1","issue":"5","issued":{"date-parts":[["2009"]]},"page":"294-302","title":"The impact of banking regulations on banks' cost and profit efficiency: Cross-country evidence","type":"article-journal","volume":"18"},"uris":["http://www.mendeley.com/documents/?uuid=a6bced23-0187-4df3-a0bf-3315bee88190"]}],"mendeley":{"formattedCitation":"(Pasiouras và c.s., 2009a)","manualFormatting":"(Pasiouras và c.s., 2009)","plainTextFormattedCitation":"(Pasiouras và c.s., 2009a)","previouslyFormattedCitation":"(Pasiouras và c.s., 2009a)"},"properties":{"noteIndex":0},"schema":"https://github.com/citation-style-language/schema/raw/master/csl-citation.json"}</w:instrText>
      </w:r>
      <w:r w:rsidRPr="00BE6750">
        <w:rPr>
          <w:rFonts w:ascii="Times New Roman" w:hAnsi="Times New Roman" w:cs="Times New Roman"/>
          <w:color w:val="000000" w:themeColor="text1"/>
          <w:sz w:val="26"/>
          <w:szCs w:val="26"/>
          <w:lang w:val="vi-VN"/>
        </w:rPr>
        <w:fldChar w:fldCharType="separate"/>
      </w:r>
      <w:r w:rsidRPr="00BE6750">
        <w:rPr>
          <w:rFonts w:ascii="Times New Roman" w:hAnsi="Times New Roman" w:cs="Times New Roman"/>
          <w:noProof/>
          <w:color w:val="000000" w:themeColor="text1"/>
          <w:sz w:val="26"/>
          <w:szCs w:val="26"/>
          <w:lang w:val="vi-VN"/>
        </w:rPr>
        <w:t>(Pasiouras và c.s., 2009)</w:t>
      </w:r>
      <w:r w:rsidRPr="00BE6750">
        <w:rPr>
          <w:rFonts w:ascii="Times New Roman" w:hAnsi="Times New Roman" w:cs="Times New Roman"/>
          <w:color w:val="000000" w:themeColor="text1"/>
          <w:sz w:val="26"/>
          <w:szCs w:val="26"/>
          <w:lang w:val="vi-VN"/>
        </w:rPr>
        <w:fldChar w:fldCharType="end"/>
      </w:r>
      <w:r w:rsidRPr="00BE6750">
        <w:rPr>
          <w:rFonts w:ascii="Times New Roman" w:hAnsi="Times New Roman" w:cs="Times New Roman"/>
          <w:color w:val="000000" w:themeColor="text1"/>
          <w:sz w:val="26"/>
          <w:szCs w:val="26"/>
          <w:lang w:val="vi-VN"/>
        </w:rPr>
        <w:t xml:space="preserve"> </w:t>
      </w:r>
      <w:r w:rsidRPr="00BE6750">
        <w:rPr>
          <w:rFonts w:ascii="Times New Roman" w:hAnsi="Times New Roman" w:cs="Times New Roman"/>
          <w:color w:val="000000" w:themeColor="text1"/>
          <w:sz w:val="26"/>
          <w:szCs w:val="26"/>
          <w:shd w:val="clear" w:color="auto" w:fill="FFFFFF"/>
          <w:lang w:val="vi-VN"/>
        </w:rPr>
        <w:t xml:space="preserve">cho thấy vai trò của 2 cách giám sát </w:t>
      </w:r>
      <w:r w:rsidRPr="00BE6750">
        <w:rPr>
          <w:rFonts w:ascii="Times New Roman" w:hAnsi="Times New Roman" w:cs="Times New Roman"/>
          <w:color w:val="000000" w:themeColor="text1"/>
          <w:sz w:val="26"/>
          <w:szCs w:val="26"/>
          <w:lang w:val="vi-VN"/>
        </w:rPr>
        <w:t>ngân hàng</w:t>
      </w:r>
      <w:r w:rsidRPr="00BE6750">
        <w:rPr>
          <w:rFonts w:ascii="Times New Roman" w:hAnsi="Times New Roman" w:cs="Times New Roman"/>
          <w:color w:val="000000" w:themeColor="text1"/>
          <w:sz w:val="26"/>
          <w:szCs w:val="26"/>
          <w:shd w:val="clear" w:color="auto" w:fill="FFFFFF"/>
          <w:lang w:val="vi-VN"/>
        </w:rPr>
        <w:t xml:space="preserve"> và các quy định đối với hiệu quả hoạt động của ngân hàng. Với những kết quả trái chiều như vậy, luận án đã đưa ra kết quả</w:t>
      </w:r>
      <w:r w:rsidRPr="00BE6750">
        <w:rPr>
          <w:rFonts w:ascii="Times New Roman" w:hAnsi="Times New Roman" w:cs="Times New Roman"/>
          <w:color w:val="000000" w:themeColor="text1"/>
          <w:sz w:val="26"/>
          <w:szCs w:val="26"/>
          <w:lang w:val="vi-VN"/>
        </w:rPr>
        <w:t xml:space="preserve"> cho thấy khi những người gửi tiền tăng các hành vi kỷ luật của mình sẽ giúp các ngân hàng hoạt động thận trọng hơn, chú ý về kỹ thuật nhiều hơn từ đó mang lại hiệu quả lớn hơn cho ngân hàng. Ngược lại, những chủ nợ thứ cấp sẽ có tác động cùng chiều đến cả hiệu quả về kỹ thuật thuần và hiệu quả về quy mô nhưng lại chưa cho thấy rõ mức ý nghĩa khi tác động với hiệu quả kỹ thuật tổng thể (TE) của các ngân hàng. Kết quả này củng cố thêm cho lý thuyết cung và cầu chính thống. Đối với một ngân hàng kém hiệu quả sẽ làm thay đổi hành vi của những người gửi tiền, những chủ nợ thứ cấp, cụ thể là đường cung tiền sẽ dịch chuyển sang trái, yêu cầu lãi suất tiền gửi cao hơn hoặc rút lượng tiền gửi của họ. Do đó, khi có các tín hiệu kỷ luật từ các thành viên tham gia thị trường các ngân hàng sẽ thay đổi để hoạt động trở nên hiệu quả hơn hoặc là sẽ bị đào thải ra khỏi hệ thống.</w:t>
      </w:r>
    </w:p>
    <w:p w14:paraId="199F0B30" w14:textId="77777777" w:rsidR="00D64B3C" w:rsidRPr="00BE6750" w:rsidRDefault="00D64B3C" w:rsidP="00BE6750">
      <w:pPr>
        <w:pStyle w:val="ListParagraph"/>
        <w:numPr>
          <w:ilvl w:val="1"/>
          <w:numId w:val="2"/>
        </w:numPr>
        <w:spacing w:before="120" w:after="120" w:line="312" w:lineRule="auto"/>
        <w:jc w:val="both"/>
        <w:outlineLvl w:val="1"/>
        <w:rPr>
          <w:rFonts w:ascii="Times New Roman" w:hAnsi="Times New Roman"/>
          <w:b/>
          <w:bCs/>
          <w:color w:val="000000" w:themeColor="text1"/>
          <w:szCs w:val="26"/>
          <w:lang w:val="vi-VN"/>
        </w:rPr>
      </w:pPr>
      <w:r w:rsidRPr="00BE6750">
        <w:rPr>
          <w:rFonts w:ascii="Times New Roman" w:hAnsi="Times New Roman"/>
          <w:b/>
          <w:bCs/>
          <w:color w:val="000000" w:themeColor="text1"/>
          <w:szCs w:val="26"/>
          <w:lang w:val="vi-VN"/>
        </w:rPr>
        <w:t>Về mặt thực tiễn</w:t>
      </w:r>
      <w:bookmarkEnd w:id="8"/>
      <w:bookmarkEnd w:id="9"/>
      <w:bookmarkEnd w:id="10"/>
      <w:bookmarkEnd w:id="11"/>
      <w:bookmarkEnd w:id="12"/>
      <w:bookmarkEnd w:id="13"/>
      <w:bookmarkEnd w:id="14"/>
      <w:bookmarkEnd w:id="15"/>
    </w:p>
    <w:p w14:paraId="38C04334" w14:textId="77777777" w:rsidR="00BE6750" w:rsidRPr="00BE6750" w:rsidRDefault="00BE6750" w:rsidP="00BE6750">
      <w:pPr>
        <w:spacing w:before="120" w:after="120" w:line="312" w:lineRule="auto"/>
        <w:ind w:left="-2" w:firstLineChars="0" w:firstLine="569"/>
        <w:jc w:val="both"/>
        <w:rPr>
          <w:rFonts w:ascii="Times New Roman" w:hAnsi="Times New Roman" w:cs="Times New Roman"/>
          <w:color w:val="000000" w:themeColor="text1"/>
          <w:sz w:val="26"/>
          <w:szCs w:val="26"/>
          <w:lang w:val="vi-VN"/>
        </w:rPr>
      </w:pPr>
      <w:r w:rsidRPr="00BE6750">
        <w:rPr>
          <w:rFonts w:ascii="Times New Roman" w:hAnsi="Times New Roman" w:cs="Times New Roman"/>
          <w:color w:val="000000" w:themeColor="text1"/>
          <w:sz w:val="26"/>
          <w:szCs w:val="26"/>
          <w:lang w:val="vi-VN"/>
        </w:rPr>
        <w:t xml:space="preserve">Kết quả nghiên cứu của luận án làm sáng tỏ các vấn đề sau: </w:t>
      </w:r>
      <w:r w:rsidRPr="00BE6750">
        <w:rPr>
          <w:rFonts w:ascii="Times New Roman" w:hAnsi="Times New Roman" w:cs="Times New Roman"/>
          <w:i/>
          <w:iCs/>
          <w:color w:val="000000" w:themeColor="text1"/>
          <w:sz w:val="26"/>
          <w:szCs w:val="26"/>
          <w:lang w:val="vi-VN"/>
        </w:rPr>
        <w:t>Thứ nhất</w:t>
      </w:r>
      <w:r w:rsidRPr="00BE6750">
        <w:rPr>
          <w:rFonts w:ascii="Times New Roman" w:hAnsi="Times New Roman" w:cs="Times New Roman"/>
          <w:color w:val="000000" w:themeColor="text1"/>
          <w:sz w:val="26"/>
          <w:szCs w:val="26"/>
          <w:lang w:val="vi-VN"/>
        </w:rPr>
        <w:t xml:space="preserve">, các TVTG thị trường sẽ thực hiện kỷ luật đối với các ngân hàng có mức rủi ro cao hơn, đó là các rủi ro được Basel đưa vào khuyến nghị yêu cầu các ngân hàng công bố đầy đủ thông tin (rủi ro tín dụng, rủi ro thị trường, rủi ro hoạt động và rủi ro tín dụng đối tác). Do đó, kết quả này cho thấy một trong những nguyên nhân khiến các ngân hàng trì hoãn việc đáp ứng các quy định </w:t>
      </w:r>
      <w:r w:rsidRPr="00BE6750">
        <w:rPr>
          <w:rFonts w:ascii="Times New Roman" w:hAnsi="Times New Roman" w:cs="Times New Roman"/>
          <w:bCs/>
          <w:color w:val="000000" w:themeColor="text1"/>
          <w:sz w:val="26"/>
          <w:szCs w:val="26"/>
          <w:lang w:val="vi-VN"/>
        </w:rPr>
        <w:t xml:space="preserve">CBTT </w:t>
      </w:r>
      <w:r w:rsidRPr="00BE6750">
        <w:rPr>
          <w:rFonts w:ascii="Times New Roman" w:hAnsi="Times New Roman" w:cs="Times New Roman"/>
          <w:color w:val="000000" w:themeColor="text1"/>
          <w:sz w:val="26"/>
          <w:szCs w:val="26"/>
          <w:lang w:val="vi-VN"/>
        </w:rPr>
        <w:t>đối với bốn loại rủi ro này, đặc biệt là nhóm các nền kinh tế</w:t>
      </w:r>
      <w:r w:rsidRPr="00BE6750" w:rsidDel="00AA19B4">
        <w:rPr>
          <w:rFonts w:ascii="Times New Roman" w:hAnsi="Times New Roman" w:cs="Times New Roman"/>
          <w:color w:val="000000" w:themeColor="text1"/>
          <w:sz w:val="26"/>
          <w:szCs w:val="26"/>
          <w:lang w:val="vi-VN"/>
        </w:rPr>
        <w:t xml:space="preserve"> </w:t>
      </w:r>
      <w:r w:rsidRPr="00BE6750">
        <w:rPr>
          <w:rFonts w:ascii="Times New Roman" w:hAnsi="Times New Roman" w:cs="Times New Roman"/>
          <w:color w:val="000000" w:themeColor="text1"/>
          <w:sz w:val="26"/>
          <w:szCs w:val="26"/>
          <w:lang w:val="vi-VN"/>
        </w:rPr>
        <w:t>mới nổi. Trong kết quả này các nghiên cứu trước đó chỉ mới chỉ ra KLTT nhạy cảm với các RRNH mà chưa chỉ ra nguyên nhân các ngân hàng trì hoãn việc đáp ứng các quy định CBTT theo Basel III. Th</w:t>
      </w:r>
      <w:r w:rsidRPr="00BE6750">
        <w:rPr>
          <w:rFonts w:ascii="Times New Roman" w:hAnsi="Times New Roman" w:cs="Times New Roman"/>
          <w:i/>
          <w:iCs/>
          <w:color w:val="000000" w:themeColor="text1"/>
          <w:sz w:val="26"/>
          <w:szCs w:val="26"/>
          <w:lang w:val="vi-VN"/>
        </w:rPr>
        <w:t>ứ hai,</w:t>
      </w:r>
      <w:r w:rsidRPr="00BE6750">
        <w:rPr>
          <w:rFonts w:ascii="Times New Roman" w:hAnsi="Times New Roman" w:cs="Times New Roman"/>
          <w:color w:val="000000" w:themeColor="text1"/>
          <w:sz w:val="26"/>
          <w:szCs w:val="26"/>
          <w:lang w:val="vi-VN"/>
        </w:rPr>
        <w:t xml:space="preserve"> việc</w:t>
      </w:r>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tăng</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khả</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năng</w:t>
      </w:r>
      <w:proofErr w:type="spellEnd"/>
      <w:r w:rsidRPr="00BE6750">
        <w:rPr>
          <w:rFonts w:ascii="Times New Roman" w:hAnsi="Times New Roman" w:cs="Times New Roman"/>
          <w:color w:val="000000" w:themeColor="text1"/>
          <w:sz w:val="26"/>
          <w:szCs w:val="26"/>
          <w:lang w:val="vi-VN"/>
        </w:rPr>
        <w:t xml:space="preserve"> đáp ứng các quy định về vốn và thanh khoản theo khung Basel III của cả hai nhóm </w:t>
      </w:r>
      <w:proofErr w:type="spellStart"/>
      <w:r w:rsidRPr="00BE6750">
        <w:rPr>
          <w:rFonts w:ascii="Times New Roman" w:hAnsi="Times New Roman" w:cs="Times New Roman"/>
          <w:color w:val="000000" w:themeColor="text1"/>
          <w:sz w:val="26"/>
          <w:szCs w:val="26"/>
        </w:rPr>
        <w:t>nền</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kinh</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tế</w:t>
      </w:r>
      <w:proofErr w:type="spellEnd"/>
      <w:r w:rsidRPr="00BE6750">
        <w:rPr>
          <w:rFonts w:ascii="Times New Roman" w:hAnsi="Times New Roman" w:cs="Times New Roman"/>
          <w:color w:val="000000" w:themeColor="text1"/>
          <w:sz w:val="26"/>
          <w:szCs w:val="26"/>
          <w:lang w:val="vi-VN"/>
        </w:rPr>
        <w:t xml:space="preserve"> phát triển và mới nổi đều giúp các TVTG thị trường gia tăng niềm tin và giảm bớt các hành vi kỷ luật lên các ngân hàng. Đặc biệt, khi xem xét với việc đáp ứng theo các quy định của Basel III thì mức độ kỷ luật của các TVTG thị trường đối với hồ sơ rủi ro, một số đặc điểm của ngân hàng và các chỉ tiêu vĩ mô có xu hướng giảm. Do đó, kết quả này cho thấy niềm tin của các TVTG thị trường sẽ gia tăng khi các </w:t>
      </w:r>
      <w:r w:rsidRPr="00BE6750">
        <w:rPr>
          <w:rFonts w:ascii="Times New Roman" w:hAnsi="Times New Roman" w:cs="Times New Roman"/>
          <w:color w:val="000000" w:themeColor="text1"/>
          <w:sz w:val="26"/>
          <w:szCs w:val="26"/>
          <w:lang w:val="vi-VN"/>
        </w:rPr>
        <w:lastRenderedPageBreak/>
        <w:t xml:space="preserve">ngân hàng thực thi theo các quy định về vốn và thanh khoản khung Basel III. Điều này, có ý nghĩa quan trọng trong việc khuyến khích các ngân hàng trong nhóm </w:t>
      </w:r>
      <w:proofErr w:type="spellStart"/>
      <w:r w:rsidRPr="00BE6750">
        <w:rPr>
          <w:rFonts w:ascii="Times New Roman" w:hAnsi="Times New Roman" w:cs="Times New Roman"/>
          <w:color w:val="000000" w:themeColor="text1"/>
          <w:sz w:val="26"/>
          <w:szCs w:val="26"/>
        </w:rPr>
        <w:t>nền</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kinh</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tế</w:t>
      </w:r>
      <w:proofErr w:type="spellEnd"/>
      <w:r w:rsidRPr="00BE6750">
        <w:rPr>
          <w:rFonts w:ascii="Times New Roman" w:hAnsi="Times New Roman" w:cs="Times New Roman"/>
          <w:color w:val="000000" w:themeColor="text1"/>
          <w:sz w:val="26"/>
          <w:szCs w:val="26"/>
          <w:lang w:val="vi-VN"/>
        </w:rPr>
        <w:t xml:space="preserve"> mới nổi đang trong giai đoạn thực thi Basel II và bước đầu tiến trình thực thi các quy định theo Basel III. Kết quả này phù hợp với các nghiên cứu trước đó như </w:t>
      </w:r>
      <w:r w:rsidRPr="00BE6750">
        <w:rPr>
          <w:rFonts w:ascii="Times New Roman" w:hAnsi="Times New Roman" w:cs="Times New Roman"/>
          <w:color w:val="000000" w:themeColor="text1"/>
          <w:sz w:val="26"/>
          <w:szCs w:val="26"/>
          <w:lang w:val="vi-VN"/>
        </w:rPr>
        <w:fldChar w:fldCharType="begin" w:fldLock="1"/>
      </w:r>
      <w:r w:rsidRPr="00BE6750">
        <w:rPr>
          <w:rFonts w:ascii="Times New Roman" w:hAnsi="Times New Roman" w:cs="Times New Roman"/>
          <w:color w:val="000000" w:themeColor="text1"/>
          <w:sz w:val="26"/>
          <w:szCs w:val="26"/>
          <w:lang w:val="vi-VN"/>
        </w:rPr>
        <w:instrText>ADDIN CSL_CITATION {"citationItems":[{"id":"ITEM-1","itemData":{"DOI":"10.1080/23322039.2020.1757801","ISSN":"23322039","abstract":"Following the recent global financial crisis, Vietnamese banks experienced changes in the minimum capital adequacy requirement following the Basel framework. We examine the impact of the regulatory change on market discipline between 2006 and 2015. The findings show a weakening of market discipline when the minimum capital adequacy requirement of 9% is imposed. The same is true for foreign-owned commercial banks during the period of implementing new capital regulation. Also, there is no evidence of the difference in market discipline between bank ownership and risks in the Vietnamese banking system. Our research has implications for bank supervisors, policy-makers, and bank managers.","author":[{"dropping-particle":"","family":"Le","given":"Tu Dq","non-dropping-particle":"","parse-names":false,"suffix":""}],"container-title":"Cogent Economics and Finance","id":"ITEM-1","issue":"1","issued":{"date-parts":[["2020"]]},"title":"Market discipline and the regulatory change: Evidence from Vietnam","type":"article-journal","volume":"8"},"uris":["http://www.mendeley.com/documents/?uuid=b383fd1f-62ef-4b77-8ec9-22a8484fd698"]}],"mendeley":{"formattedCitation":"(Le, 2020)","plainTextFormattedCitation":"(Le, 2020)","previouslyFormattedCitation":"(Le, 2020)"},"properties":{"noteIndex":0},"schema":"https://github.com/citation-style-language/schema/raw/master/csl-citation.json"}</w:instrText>
      </w:r>
      <w:r w:rsidRPr="00BE6750">
        <w:rPr>
          <w:rFonts w:ascii="Times New Roman" w:hAnsi="Times New Roman" w:cs="Times New Roman"/>
          <w:color w:val="000000" w:themeColor="text1"/>
          <w:sz w:val="26"/>
          <w:szCs w:val="26"/>
          <w:lang w:val="vi-VN"/>
        </w:rPr>
        <w:fldChar w:fldCharType="separate"/>
      </w:r>
      <w:r w:rsidRPr="00BE6750">
        <w:rPr>
          <w:rFonts w:ascii="Times New Roman" w:hAnsi="Times New Roman" w:cs="Times New Roman"/>
          <w:noProof/>
          <w:color w:val="000000" w:themeColor="text1"/>
          <w:sz w:val="26"/>
          <w:szCs w:val="26"/>
          <w:lang w:val="vi-VN"/>
        </w:rPr>
        <w:t>(Le, 2020)</w:t>
      </w:r>
      <w:r w:rsidRPr="00BE6750">
        <w:rPr>
          <w:rFonts w:ascii="Times New Roman" w:hAnsi="Times New Roman" w:cs="Times New Roman"/>
          <w:color w:val="000000" w:themeColor="text1"/>
          <w:sz w:val="26"/>
          <w:szCs w:val="26"/>
          <w:lang w:val="vi-VN"/>
        </w:rPr>
        <w:fldChar w:fldCharType="end"/>
      </w:r>
      <w:r w:rsidRPr="00BE6750">
        <w:rPr>
          <w:rFonts w:ascii="Times New Roman" w:hAnsi="Times New Roman" w:cs="Times New Roman"/>
          <w:color w:val="000000" w:themeColor="text1"/>
          <w:sz w:val="26"/>
          <w:szCs w:val="26"/>
          <w:lang w:val="vi-VN"/>
        </w:rPr>
        <w:t>. Tuy nhiên, luận án đã cung cấp sâu hơn và chứng minh rằng việc đáp ứng tỷ lệ yêu cầu vốn tối thiểu theo Basel III có tác động làm gia tăng niềm tin đối với các ngân hàng thuộc nhóm các nền kinh tế mới nổi trong khi đối với nhóm các nền kinh tế phát triển thì việc đáp ứng tỷ lệ thanh khoản (cụ thể tỷ lệ thanh khoản ròng LCR) lại có vai trò quan trọng hơn hai tỷ lệ còn lại.</w:t>
      </w:r>
      <w:r w:rsidRPr="00BE6750">
        <w:rPr>
          <w:rFonts w:ascii="Times New Roman" w:hAnsi="Times New Roman" w:cs="Times New Roman"/>
          <w:b/>
          <w:bCs/>
          <w:color w:val="000000" w:themeColor="text1"/>
          <w:sz w:val="26"/>
          <w:szCs w:val="26"/>
          <w:lang w:val="vi-VN"/>
        </w:rPr>
        <w:t xml:space="preserve"> </w:t>
      </w:r>
      <w:r w:rsidRPr="00BE6750">
        <w:rPr>
          <w:rFonts w:ascii="Times New Roman" w:hAnsi="Times New Roman" w:cs="Times New Roman"/>
          <w:i/>
          <w:iCs/>
          <w:color w:val="000000" w:themeColor="text1"/>
          <w:sz w:val="26"/>
          <w:szCs w:val="26"/>
          <w:lang w:val="vi-VN"/>
        </w:rPr>
        <w:t>Thứ ba,</w:t>
      </w:r>
      <w:r w:rsidRPr="00BE6750">
        <w:rPr>
          <w:rFonts w:ascii="Times New Roman" w:hAnsi="Times New Roman" w:cs="Times New Roman"/>
          <w:color w:val="000000" w:themeColor="text1"/>
          <w:sz w:val="26"/>
          <w:szCs w:val="26"/>
          <w:lang w:val="vi-VN"/>
        </w:rPr>
        <w:t xml:space="preserve"> các ước lượng HQNH trong khu vực Châu Á - Thái Bình Dương cho thấy hiệu quả kỹ thuật, hiệu quả kỹ thuật thuần và hiệu quả quy mô trung bình khá thấp. Kết quả này cho thấy sự chệnh lệch khá lớn giữa các ngân hàng trong mẫu nghiên cứu, mặc dù nghiên cứu lựa chọn các ngân hàng có vốn cấp 1 lớn. Sự chệnh lệch khá lớn này chủ yếu từ sự chệnh lệch của các ngân hàng thuộc nhóm các </w:t>
      </w:r>
      <w:proofErr w:type="spellStart"/>
      <w:r w:rsidRPr="00BE6750">
        <w:rPr>
          <w:rFonts w:ascii="Times New Roman" w:hAnsi="Times New Roman" w:cs="Times New Roman"/>
          <w:color w:val="000000" w:themeColor="text1"/>
          <w:sz w:val="26"/>
          <w:szCs w:val="26"/>
        </w:rPr>
        <w:t>nền</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kinh</w:t>
      </w:r>
      <w:proofErr w:type="spellEnd"/>
      <w:r w:rsidRPr="00BE6750">
        <w:rPr>
          <w:rFonts w:ascii="Times New Roman" w:hAnsi="Times New Roman" w:cs="Times New Roman"/>
          <w:color w:val="000000" w:themeColor="text1"/>
          <w:sz w:val="26"/>
          <w:szCs w:val="26"/>
        </w:rPr>
        <w:t xml:space="preserve"> </w:t>
      </w:r>
      <w:proofErr w:type="spellStart"/>
      <w:r w:rsidRPr="00BE6750">
        <w:rPr>
          <w:rFonts w:ascii="Times New Roman" w:hAnsi="Times New Roman" w:cs="Times New Roman"/>
          <w:color w:val="000000" w:themeColor="text1"/>
          <w:sz w:val="26"/>
          <w:szCs w:val="26"/>
        </w:rPr>
        <w:t>tế</w:t>
      </w:r>
      <w:proofErr w:type="spellEnd"/>
      <w:r w:rsidRPr="00BE6750">
        <w:rPr>
          <w:rFonts w:ascii="Times New Roman" w:hAnsi="Times New Roman" w:cs="Times New Roman"/>
          <w:color w:val="000000" w:themeColor="text1"/>
          <w:sz w:val="26"/>
          <w:szCs w:val="26"/>
          <w:lang w:val="vi-VN"/>
        </w:rPr>
        <w:t xml:space="preserve"> mới nổi và chủ yếu sự chệnh lệch về hiệu quả kỹ thuật thuần giữa các ngân hàng hơn là hiệu quả về quy mô</w:t>
      </w:r>
      <w:r w:rsidRPr="00BE6750">
        <w:rPr>
          <w:rFonts w:ascii="Times New Roman" w:hAnsi="Times New Roman" w:cs="Times New Roman"/>
          <w:i/>
          <w:iCs/>
          <w:color w:val="000000" w:themeColor="text1"/>
          <w:sz w:val="26"/>
          <w:szCs w:val="26"/>
          <w:lang w:val="vi-VN"/>
        </w:rPr>
        <w:t>.</w:t>
      </w:r>
      <w:r w:rsidRPr="00BE6750">
        <w:rPr>
          <w:rFonts w:ascii="Times New Roman" w:hAnsi="Times New Roman" w:cs="Times New Roman"/>
          <w:color w:val="000000" w:themeColor="text1"/>
          <w:sz w:val="26"/>
          <w:szCs w:val="26"/>
          <w:lang w:val="vi-VN"/>
        </w:rPr>
        <w:t xml:space="preserve"> Kết quả này cũng đã lí giải lý do về thực trạng đặc điểm chung của các ngân hàng trong khu vực Châu Á - Thái Bình Dương. </w:t>
      </w:r>
      <w:r w:rsidRPr="00BE6750">
        <w:rPr>
          <w:rFonts w:ascii="Times New Roman" w:hAnsi="Times New Roman" w:cs="Times New Roman"/>
          <w:i/>
          <w:iCs/>
          <w:color w:val="000000" w:themeColor="text1"/>
          <w:sz w:val="26"/>
          <w:szCs w:val="26"/>
          <w:lang w:val="vi-VN"/>
        </w:rPr>
        <w:t>Thứ tư,</w:t>
      </w:r>
      <w:r w:rsidRPr="00BE6750">
        <w:rPr>
          <w:rFonts w:ascii="Times New Roman" w:hAnsi="Times New Roman" w:cs="Times New Roman"/>
          <w:color w:val="000000" w:themeColor="text1"/>
          <w:sz w:val="26"/>
          <w:szCs w:val="26"/>
          <w:lang w:val="vi-VN"/>
        </w:rPr>
        <w:t xml:space="preserve"> đối với tác động của KLTT đối với HQNH thì cả hai nhóm nền kinh tế</w:t>
      </w:r>
      <w:r w:rsidRPr="00BE6750" w:rsidDel="00202DD2">
        <w:rPr>
          <w:rFonts w:ascii="Times New Roman" w:hAnsi="Times New Roman" w:cs="Times New Roman"/>
          <w:color w:val="000000" w:themeColor="text1"/>
          <w:sz w:val="26"/>
          <w:szCs w:val="26"/>
          <w:lang w:val="vi-VN"/>
        </w:rPr>
        <w:t xml:space="preserve"> </w:t>
      </w:r>
      <w:r w:rsidRPr="00BE6750">
        <w:rPr>
          <w:rFonts w:ascii="Times New Roman" w:hAnsi="Times New Roman" w:cs="Times New Roman"/>
          <w:color w:val="000000" w:themeColor="text1"/>
          <w:sz w:val="26"/>
          <w:szCs w:val="26"/>
          <w:lang w:val="vi-VN"/>
        </w:rPr>
        <w:t>phát triển và mới nổi đều cho thấy tác động tích cực. Việc tăng cường các hành vi KLTT của các TVTG thị trường (những người gửi tiền, chủ nợ thứ cấp) sẽ giúp các ngân hàng nâng cao hiệu quả của mình (hiệu quả kỹ thuật, hiệu quả kỹ thuật thuần và hiệu quả quy mô). Tuy nhiên, giữa các ngân hàng thuộc hai nhóm nền kinh tế</w:t>
      </w:r>
      <w:r w:rsidRPr="00BE6750" w:rsidDel="00202DD2">
        <w:rPr>
          <w:rFonts w:ascii="Times New Roman" w:hAnsi="Times New Roman" w:cs="Times New Roman"/>
          <w:color w:val="000000" w:themeColor="text1"/>
          <w:sz w:val="26"/>
          <w:szCs w:val="26"/>
          <w:lang w:val="vi-VN"/>
        </w:rPr>
        <w:t xml:space="preserve"> </w:t>
      </w:r>
      <w:r w:rsidRPr="00BE6750">
        <w:rPr>
          <w:rFonts w:ascii="Times New Roman" w:hAnsi="Times New Roman" w:cs="Times New Roman"/>
          <w:color w:val="000000" w:themeColor="text1"/>
          <w:sz w:val="26"/>
          <w:szCs w:val="26"/>
          <w:lang w:val="vi-VN"/>
        </w:rPr>
        <w:t xml:space="preserve">vẫn có sự khác biệt trong tác động giữa KLTT và HQNH. Cụ thể, nhóm nền kinh tế phát triển đều cho thấy vai trò rõ rệt KLTT của những người gửi tiền và những chủ nợ thứ cấp đối với HQNH, nhưng đối với nền kinh tế phát triển thì KLTT của những chủ nợ thứ cấp chưa cho thấy tác động rõ nét đến HQNH, mặc dù nó tác động làm tăng hiệu quả kỹ thuật thuần (PTE), hiệu quả quy mô nhưng chưa cho thấy mức tác động có ý nghĩa lên hiệu quả kỹ thuật ngân hàng. Đây là một trong những kết quả mới mà nghiên cứu chỉ ra so với các nghiên cứu trước đây khi chỉ tiếp cận vấn đề nghiên cứu ở một phạm vi hẹp hơn. </w:t>
      </w:r>
    </w:p>
    <w:p w14:paraId="42DEE660" w14:textId="77777777" w:rsidR="00BE6750" w:rsidRPr="00BE6750" w:rsidRDefault="00BE6750" w:rsidP="00BE6750">
      <w:pPr>
        <w:spacing w:before="120" w:after="120" w:line="312" w:lineRule="auto"/>
        <w:ind w:leftChars="0" w:left="0" w:firstLineChars="0" w:firstLine="567"/>
        <w:jc w:val="both"/>
        <w:rPr>
          <w:rFonts w:ascii="Times New Roman" w:hAnsi="Times New Roman" w:cs="Times New Roman"/>
          <w:i/>
          <w:iCs/>
          <w:color w:val="000000" w:themeColor="text1"/>
          <w:sz w:val="26"/>
          <w:szCs w:val="26"/>
          <w:shd w:val="clear" w:color="auto" w:fill="FFFFFF"/>
          <w:lang w:val="vi-VN"/>
        </w:rPr>
      </w:pPr>
      <w:r w:rsidRPr="00BE6750">
        <w:rPr>
          <w:rFonts w:ascii="Times New Roman" w:hAnsi="Times New Roman" w:cs="Times New Roman"/>
          <w:color w:val="000000" w:themeColor="text1"/>
          <w:sz w:val="26"/>
          <w:szCs w:val="26"/>
          <w:shd w:val="clear" w:color="auto" w:fill="FFFFFF"/>
          <w:lang w:val="vi-VN"/>
        </w:rPr>
        <w:t xml:space="preserve">Luận án đã chỉ ra được, để hiệu quả kỹ thuật, hiệu quả kỹ thuật thuần và hiệu quả quy mô cần thiết phải nâng cao các hành vi KLTT của các TVTG thị trường (gồm những người gửi tiền, những chủ nợ thứ cấp). Do đó, luận án đã đề xuất các hàm ý chính sách liên quan đến việc tăng KLTT của các thành viên giam gia và các hàm ý chính sách nhằm tạo môi trường để KLTT của các TVTG được hoạt động có hiệu quả. </w:t>
      </w:r>
      <w:r w:rsidRPr="00BE6750">
        <w:rPr>
          <w:rFonts w:ascii="Times New Roman" w:hAnsi="Times New Roman" w:cs="Times New Roman"/>
          <w:i/>
          <w:iCs/>
          <w:color w:val="000000" w:themeColor="text1"/>
          <w:sz w:val="26"/>
          <w:szCs w:val="26"/>
          <w:shd w:val="clear" w:color="auto" w:fill="FFFFFF"/>
          <w:lang w:val="vi-VN"/>
        </w:rPr>
        <w:t>Thứ nhất, tiếp tục hoàn thiện thể chế, các chính sách nhằm tăng khả năng công bố thông tin đối với các ngân hàng; tăng cường thực thi theo các chuẩn mực về Báo cáo tài chính quốc tế tạo môi trường cho KLTT được hoạt động hiệu quả. Bên cạnh đó cần đưa ra các chính sách nhằm quản trị các loại rủi ro.</w:t>
      </w:r>
      <w:r w:rsidRPr="00BE6750">
        <w:rPr>
          <w:rFonts w:ascii="Times New Roman" w:hAnsi="Times New Roman" w:cs="Times New Roman"/>
          <w:color w:val="000000" w:themeColor="text1"/>
          <w:sz w:val="26"/>
          <w:szCs w:val="26"/>
          <w:shd w:val="clear" w:color="auto" w:fill="FFFFFF"/>
          <w:lang w:val="vi-VN"/>
        </w:rPr>
        <w:t xml:space="preserve"> So với các nghiên cứu trước đây, luận án đã </w:t>
      </w:r>
      <w:r w:rsidRPr="00BE6750">
        <w:rPr>
          <w:rFonts w:ascii="Times New Roman" w:hAnsi="Times New Roman" w:cs="Times New Roman"/>
          <w:bCs/>
          <w:color w:val="000000" w:themeColor="text1"/>
          <w:sz w:val="26"/>
          <w:szCs w:val="26"/>
          <w:lang w:val="vi-VN"/>
        </w:rPr>
        <w:t xml:space="preserve">cho thấy một trong những nguyên nhân khiến các ngân hàng trì hoãn việc đáp ứng các quy định CBTT đối với bốn loại rủi ro này, </w:t>
      </w:r>
      <w:r w:rsidRPr="00BE6750">
        <w:rPr>
          <w:rFonts w:ascii="Times New Roman" w:hAnsi="Times New Roman" w:cs="Times New Roman"/>
          <w:bCs/>
          <w:color w:val="000000" w:themeColor="text1"/>
          <w:sz w:val="26"/>
          <w:szCs w:val="26"/>
          <w:lang w:val="vi-VN"/>
        </w:rPr>
        <w:lastRenderedPageBreak/>
        <w:t xml:space="preserve">đặc biệt là nhóm các nền kinh tế mới nổi. Kết quả này cũng phù hợp với lý thuyết tín hiệu (Siggnalling Theory), rằng các ngân hàng sẽ phát tín hiệu cho các bên liên quan nhưng có xu hướng sử dụng công cụ nào để cung cấp những thông tin có lợi nhất về ngân hàng cho các nhà đầu tư. Từ đó, việc tăng cường công bố thông tin về quản lý bốn loại rủi ro này là cần thiết, đặc biệt là đối với các ngân hàng thuộc nền kinh tế mới nổi. </w:t>
      </w:r>
      <w:r w:rsidRPr="00BE6750">
        <w:rPr>
          <w:rFonts w:ascii="Times New Roman" w:hAnsi="Times New Roman" w:cs="Times New Roman"/>
          <w:i/>
          <w:iCs/>
          <w:color w:val="000000" w:themeColor="text1"/>
          <w:sz w:val="26"/>
          <w:szCs w:val="26"/>
          <w:shd w:val="clear" w:color="auto" w:fill="FFFFFF"/>
          <w:lang w:val="vi-VN"/>
        </w:rPr>
        <w:t>Thứ hai, xây dựng các chuẩn mực, các quy định về đánh giá hiệu quả hệ thống ngân hàng.</w:t>
      </w:r>
      <w:r w:rsidRPr="00BE6750">
        <w:rPr>
          <w:rFonts w:ascii="Times New Roman" w:hAnsi="Times New Roman" w:cs="Times New Roman"/>
          <w:b/>
          <w:bCs/>
          <w:color w:val="000000" w:themeColor="text1"/>
          <w:sz w:val="26"/>
          <w:szCs w:val="26"/>
          <w:shd w:val="clear" w:color="auto" w:fill="FFFFFF"/>
          <w:lang w:val="vi-VN"/>
        </w:rPr>
        <w:t xml:space="preserve"> </w:t>
      </w:r>
      <w:r w:rsidRPr="00BE6750">
        <w:rPr>
          <w:rFonts w:ascii="Times New Roman" w:hAnsi="Times New Roman" w:cs="Times New Roman"/>
          <w:color w:val="000000" w:themeColor="text1"/>
          <w:sz w:val="26"/>
          <w:szCs w:val="26"/>
          <w:shd w:val="clear" w:color="auto" w:fill="FFFFFF"/>
          <w:lang w:val="vi-VN"/>
        </w:rPr>
        <w:t xml:space="preserve">Đối với chính sách này rất nhiều nghiên cứu đo lường hiệu quả ngân hàng </w:t>
      </w:r>
      <w:r w:rsidRPr="00BE6750">
        <w:rPr>
          <w:rFonts w:ascii="Times New Roman" w:hAnsi="Times New Roman" w:cs="Times New Roman"/>
          <w:color w:val="000000" w:themeColor="text1"/>
          <w:sz w:val="26"/>
          <w:szCs w:val="26"/>
          <w:lang w:val="vi-VN"/>
        </w:rPr>
        <w:t xml:space="preserve">tuy nhiên hiện nay việc đánh giá hiệu quả hoạt động của ngân hàng chưa có một hệ thống quy chuẩn giữa hệ thống các ngân hàng, do đó khó khăn trong việc so sánh và nhìn nhận đánh giá từ phía góc độ của những người tham gia thị trường thực hiện các hành vi kỷ luật đối với ngân hàng. </w:t>
      </w:r>
      <w:r w:rsidRPr="00BE6750">
        <w:rPr>
          <w:rFonts w:ascii="Times New Roman" w:hAnsi="Times New Roman" w:cs="Times New Roman"/>
          <w:i/>
          <w:iCs/>
          <w:color w:val="000000" w:themeColor="text1"/>
          <w:sz w:val="26"/>
          <w:szCs w:val="26"/>
          <w:shd w:val="clear" w:color="auto" w:fill="FFFFFF"/>
          <w:lang w:val="vi-VN"/>
        </w:rPr>
        <w:t>Thứ ba, tiếp tục thực thi các quy định về vốn và ngân hàng theo khung quy định Basel theo từng trình tự và giai đoạn phù với với mỗi nền kinh tế và đặc điểm của mỗi ngân hàng.</w:t>
      </w:r>
      <w:r w:rsidRPr="00BE6750">
        <w:rPr>
          <w:rFonts w:ascii="Times New Roman" w:hAnsi="Times New Roman" w:cs="Times New Roman"/>
          <w:color w:val="000000" w:themeColor="text1"/>
          <w:sz w:val="26"/>
          <w:szCs w:val="26"/>
          <w:shd w:val="clear" w:color="auto" w:fill="FFFFFF"/>
          <w:lang w:val="vi-VN"/>
        </w:rPr>
        <w:t xml:space="preserve"> Khuyến nghị này đã được đề cập trong nhiều các nghiên cứu trước đó nhưng luận án đặc biệt chú trọng đến việc kết hợp </w:t>
      </w:r>
      <w:r w:rsidRPr="00BE6750">
        <w:rPr>
          <w:rFonts w:ascii="Times New Roman" w:hAnsi="Times New Roman" w:cs="Times New Roman"/>
          <w:color w:val="000000" w:themeColor="text1"/>
          <w:sz w:val="26"/>
          <w:szCs w:val="26"/>
          <w:lang w:val="vi-VN"/>
        </w:rPr>
        <w:t xml:space="preserve">quy định chính thức của ngân hàng và KLTT có thể bổ sung cho nhau nhằm nâng cao hiệu quả ngân hàng. Đặc biệt là nhóm các quốc gia mới nổi khi việc đáp ứng các quy định về vốn và thanh khoản không cho thấy tác động tích cực đến hiệu quả ngân hàng thì công cụ KLTT là cần thiết được coi trọng và phát huy. </w:t>
      </w:r>
      <w:r w:rsidRPr="00BE6750">
        <w:rPr>
          <w:rFonts w:ascii="Times New Roman" w:hAnsi="Times New Roman" w:cs="Times New Roman"/>
          <w:i/>
          <w:iCs/>
          <w:color w:val="000000" w:themeColor="text1"/>
          <w:sz w:val="26"/>
          <w:szCs w:val="26"/>
          <w:shd w:val="clear" w:color="auto" w:fill="FFFFFF"/>
          <w:lang w:val="vi-VN"/>
        </w:rPr>
        <w:t xml:space="preserve">Thứ tư, hoàn thiện các chính sách nhằm bảo vệ quyền và nghĩa vụ đối với các thành viên tham gia thị trường gồm: những người gửi tiền, những chủ nợ thứ cấp. Từ đó nâng cao kỷ luật thị trường của các thành viên trong việc giám sát đưa ra các tín hiệu cảnh báo cho các hoạt động rủi ro của hệ thống ngân hàng. </w:t>
      </w:r>
    </w:p>
    <w:p w14:paraId="2534832E" w14:textId="77777777" w:rsidR="002E1A53" w:rsidRPr="00BE6750" w:rsidRDefault="00000000" w:rsidP="00BE6750">
      <w:pPr>
        <w:spacing w:before="120" w:after="120" w:line="312" w:lineRule="auto"/>
        <w:ind w:left="1" w:hanging="3"/>
        <w:jc w:val="both"/>
        <w:rPr>
          <w:rFonts w:ascii="Times New Roman" w:eastAsia="Times New Roman" w:hAnsi="Times New Roman" w:cs="Times New Roman"/>
          <w:color w:val="000000" w:themeColor="text1"/>
          <w:sz w:val="26"/>
          <w:szCs w:val="26"/>
        </w:rPr>
      </w:pPr>
      <w:r w:rsidRPr="00BE6750">
        <w:rPr>
          <w:rFonts w:ascii="Times New Roman" w:eastAsia="Times New Roman" w:hAnsi="Times New Roman" w:cs="Times New Roman"/>
          <w:b/>
          <w:color w:val="000000" w:themeColor="text1"/>
          <w:sz w:val="26"/>
          <w:szCs w:val="26"/>
        </w:rPr>
        <w:t>3. CÁC ỨNG DỤNG/ KHẢ NĂNG ỨNG DỤNG TRONG THỰC TIỄN HAY NHỮNG VẤN ĐỀ CÒN BỎ NGỎ CẦN TIẾP TỤC NGHIÊN CỨU</w:t>
      </w:r>
    </w:p>
    <w:p w14:paraId="13690274" w14:textId="7512FD37" w:rsidR="00D64B3C" w:rsidRPr="00BE6750" w:rsidRDefault="00D64B3C" w:rsidP="00BE6750">
      <w:pPr>
        <w:pStyle w:val="ListParagraph"/>
        <w:spacing w:before="120" w:after="120" w:line="312" w:lineRule="auto"/>
        <w:ind w:left="5" w:firstLine="562"/>
        <w:jc w:val="both"/>
        <w:textDirection w:val="btLr"/>
        <w:rPr>
          <w:rFonts w:ascii="Times New Roman" w:hAnsi="Times New Roman"/>
          <w:color w:val="000000" w:themeColor="text1"/>
          <w:szCs w:val="26"/>
          <w:lang w:val="vi-VN"/>
        </w:rPr>
      </w:pPr>
      <w:r w:rsidRPr="00BE6750">
        <w:rPr>
          <w:rFonts w:ascii="Times New Roman" w:hAnsi="Times New Roman"/>
          <w:i/>
          <w:iCs/>
          <w:color w:val="000000" w:themeColor="text1"/>
          <w:szCs w:val="26"/>
          <w:lang w:val="vi-VN"/>
        </w:rPr>
        <w:t xml:space="preserve">Thứ nhất, </w:t>
      </w:r>
      <w:r w:rsidRPr="00BE6750">
        <w:rPr>
          <w:rFonts w:ascii="Times New Roman" w:hAnsi="Times New Roman"/>
          <w:color w:val="000000" w:themeColor="text1"/>
          <w:szCs w:val="26"/>
          <w:lang w:val="vi-VN"/>
        </w:rPr>
        <w:t xml:space="preserve">do hạn chế về mặt số liệu nên nghiên cứu chỉ xem xét đối với mẫu nghiên cứu khoảng 300 ngân hàng có vốn cấp 1 lớn theo xếp hạng của Thebankerdatabase và nghiên cứu chỉ lựa chọn </w:t>
      </w:r>
      <w:r w:rsidR="00176023">
        <w:rPr>
          <w:rFonts w:ascii="Times New Roman" w:hAnsi="Times New Roman"/>
          <w:color w:val="000000" w:themeColor="text1"/>
          <w:szCs w:val="26"/>
          <w:lang w:val="vi-VN"/>
        </w:rPr>
        <w:t>2</w:t>
      </w:r>
      <w:r w:rsidRPr="00BE6750">
        <w:rPr>
          <w:rFonts w:ascii="Times New Roman" w:hAnsi="Times New Roman"/>
          <w:color w:val="000000" w:themeColor="text1"/>
          <w:szCs w:val="26"/>
          <w:lang w:val="vi-VN"/>
        </w:rPr>
        <w:t xml:space="preserve"> thước đo đại diện cho kỷ luật của</w:t>
      </w:r>
      <w:r w:rsidR="00176023">
        <w:rPr>
          <w:rFonts w:ascii="Times New Roman" w:hAnsi="Times New Roman"/>
          <w:color w:val="000000" w:themeColor="text1"/>
          <w:szCs w:val="26"/>
          <w:lang w:val="vi-VN"/>
        </w:rPr>
        <w:t xml:space="preserve"> các</w:t>
      </w:r>
      <w:r w:rsidRPr="00BE6750">
        <w:rPr>
          <w:rFonts w:ascii="Times New Roman" w:hAnsi="Times New Roman"/>
          <w:color w:val="000000" w:themeColor="text1"/>
          <w:szCs w:val="26"/>
          <w:lang w:val="vi-VN"/>
        </w:rPr>
        <w:t xml:space="preserve"> TVTG thị trường (những chủ nợ thứ cấp và những người gửi tiền).</w:t>
      </w:r>
    </w:p>
    <w:p w14:paraId="3E8FE8F1" w14:textId="77777777" w:rsidR="00D64B3C" w:rsidRPr="00BE6750" w:rsidRDefault="00D64B3C" w:rsidP="00BE6750">
      <w:pPr>
        <w:pStyle w:val="ListParagraph"/>
        <w:spacing w:before="120" w:after="120" w:line="312" w:lineRule="auto"/>
        <w:ind w:left="5" w:firstLine="562"/>
        <w:jc w:val="both"/>
        <w:textDirection w:val="btLr"/>
        <w:rPr>
          <w:rFonts w:ascii="Times New Roman" w:hAnsi="Times New Roman"/>
          <w:color w:val="000000" w:themeColor="text1"/>
          <w:szCs w:val="26"/>
          <w:lang w:val="vi-VN"/>
        </w:rPr>
      </w:pPr>
      <w:r w:rsidRPr="00BE6750">
        <w:rPr>
          <w:rFonts w:ascii="Times New Roman" w:hAnsi="Times New Roman"/>
          <w:i/>
          <w:iCs/>
          <w:color w:val="000000" w:themeColor="text1"/>
          <w:szCs w:val="26"/>
          <w:lang w:val="vi-VN"/>
        </w:rPr>
        <w:t>Thứ hai,</w:t>
      </w:r>
      <w:r w:rsidRPr="00BE6750">
        <w:rPr>
          <w:rFonts w:ascii="Times New Roman" w:hAnsi="Times New Roman"/>
          <w:color w:val="000000" w:themeColor="text1"/>
          <w:szCs w:val="26"/>
          <w:lang w:val="vi-VN"/>
        </w:rPr>
        <w:t xml:space="preserve"> mặc dù nghiên cứu đã thu thập đủ số liệu hai quy định về vốn theo yêu cầu Basel III là tỷ lệ an toàn vốn tối thiểu (CAR&gt;=10,5%) và tỷ lệ đòn bẩy phi rủi ro (LEV&gt;=3%). Tuy nhiên đối với tỷ lệ LEV khi đưa vào mô hình gây nhiễu mô hình (lí do là các ngân hàng đều đáp ứng chỉ tiêu này), do đó nghiên cứu đã loại biến này hỏi mô hình nghiên cứu.</w:t>
      </w:r>
    </w:p>
    <w:p w14:paraId="31E8465C" w14:textId="77777777" w:rsidR="00D64B3C" w:rsidRPr="00BE6750" w:rsidRDefault="00D64B3C" w:rsidP="00BE6750">
      <w:pPr>
        <w:pStyle w:val="ListParagraph"/>
        <w:spacing w:before="120" w:after="120" w:line="312" w:lineRule="auto"/>
        <w:ind w:left="5" w:firstLine="562"/>
        <w:jc w:val="both"/>
        <w:textDirection w:val="btLr"/>
        <w:rPr>
          <w:rFonts w:ascii="Times New Roman" w:hAnsi="Times New Roman"/>
          <w:color w:val="000000" w:themeColor="text1"/>
          <w:szCs w:val="26"/>
          <w:lang w:val="vi-VN"/>
        </w:rPr>
      </w:pPr>
      <w:r w:rsidRPr="00BE6750">
        <w:rPr>
          <w:rFonts w:ascii="Times New Roman" w:hAnsi="Times New Roman"/>
          <w:i/>
          <w:iCs/>
          <w:color w:val="000000" w:themeColor="text1"/>
          <w:szCs w:val="26"/>
          <w:lang w:val="vi-VN"/>
        </w:rPr>
        <w:t>Thứ ba,</w:t>
      </w:r>
      <w:r w:rsidRPr="00BE6750">
        <w:rPr>
          <w:rFonts w:ascii="Times New Roman" w:hAnsi="Times New Roman"/>
          <w:color w:val="000000" w:themeColor="text1"/>
          <w:szCs w:val="26"/>
          <w:lang w:val="vi-VN"/>
        </w:rPr>
        <w:t xml:space="preserve"> nghiên cứu chưa xây dựng được chỉ số CBTT của từng ngân hàng và xem xét ảnh hưởng của nó đến KLTT mà chỉ mới sử dụng chỉ số CBTT của từng nền kinh tế  trong mô hình nghiên cứu. Lý do là nghiên cứu muốn tập trung nghiên cứu ảnh hưởng của </w:t>
      </w:r>
      <w:r w:rsidRPr="00BE6750">
        <w:rPr>
          <w:rFonts w:ascii="Times New Roman" w:hAnsi="Times New Roman"/>
          <w:color w:val="000000" w:themeColor="text1"/>
          <w:szCs w:val="26"/>
          <w:lang w:val="vi-VN"/>
        </w:rPr>
        <w:lastRenderedPageBreak/>
        <w:t xml:space="preserve">các nhân tố đến KLTT và chọn lọc các ngân hàng cung cấp đầy đủ các số liệu để phục vụ cho quá trình phân tích. </w:t>
      </w:r>
    </w:p>
    <w:p w14:paraId="50714C21" w14:textId="6333F16F" w:rsidR="00BE6750" w:rsidRDefault="00BE6750" w:rsidP="00BE6750">
      <w:pPr>
        <w:spacing w:before="120" w:after="120" w:line="312" w:lineRule="auto"/>
        <w:ind w:left="-2" w:firstLineChars="0" w:firstLine="569"/>
        <w:jc w:val="both"/>
        <w:rPr>
          <w:rFonts w:ascii="Times New Roman" w:hAnsi="Times New Roman" w:cs="Times New Roman"/>
          <w:color w:val="000000" w:themeColor="text1"/>
          <w:sz w:val="26"/>
          <w:szCs w:val="26"/>
          <w:lang w:val="vi-VN"/>
        </w:rPr>
      </w:pPr>
      <w:r w:rsidRPr="00BE6750">
        <w:rPr>
          <w:rFonts w:ascii="Times New Roman" w:hAnsi="Times New Roman" w:cs="Times New Roman"/>
          <w:i/>
          <w:iCs/>
          <w:color w:val="000000" w:themeColor="text1"/>
          <w:sz w:val="26"/>
          <w:szCs w:val="26"/>
          <w:lang w:val="vi-VN"/>
        </w:rPr>
        <w:t>Thứ tư,</w:t>
      </w:r>
      <w:r w:rsidRPr="00BE6750">
        <w:rPr>
          <w:rFonts w:ascii="Times New Roman" w:hAnsi="Times New Roman" w:cs="Times New Roman"/>
          <w:color w:val="000000" w:themeColor="text1"/>
          <w:sz w:val="26"/>
          <w:szCs w:val="26"/>
          <w:lang w:val="vi-VN"/>
        </w:rPr>
        <w:t xml:space="preserve"> nghiên cứu chỉ xem xét kỷ luật của những người gửi tiền và những chủ nợ thứ cấp. Đối với kỷ luật của những chủ sở hữu vốn cổ phần nghiên cứu sẽ không tiếp cận do đặc điểm thị trường chứng khoán và chính sách của mỗi quốc gia rất khác nhau. Do đó, đây cũng là một trong những giới hạn của nghiên cứu. Ngoài ra, với sự sẵn có của nguồn dữ liệu, luận án không thể phân biệt chi phí lãi vay mà các ngân hàng trả cho các khoản tiền gửi không có bảo hiểm. Do đó, luận án sẽ sử dụng lãi suất ngầm để đại diện cho hành vi kỷ luật của những người gửi tiền</w:t>
      </w:r>
      <w:r w:rsidR="006E44B1">
        <w:rPr>
          <w:rFonts w:ascii="Times New Roman" w:hAnsi="Times New Roman" w:cs="Times New Roman"/>
          <w:color w:val="000000" w:themeColor="text1"/>
          <w:sz w:val="26"/>
          <w:szCs w:val="26"/>
          <w:lang w:val="vi-VN"/>
        </w:rPr>
        <w:t>.</w:t>
      </w:r>
    </w:p>
    <w:p w14:paraId="410551FA" w14:textId="77777777" w:rsidR="00BE6750" w:rsidRPr="00BE6750" w:rsidRDefault="00BE6750" w:rsidP="00BE6750">
      <w:pPr>
        <w:spacing w:before="120" w:after="120" w:line="312" w:lineRule="auto"/>
        <w:ind w:leftChars="0" w:left="0" w:firstLineChars="0" w:firstLine="0"/>
        <w:rPr>
          <w:rFonts w:ascii="Times New Roman" w:hAnsi="Times New Roman" w:cs="Times New Roman"/>
          <w:sz w:val="26"/>
          <w:szCs w:val="26"/>
          <w:lang w:val="vi-VN"/>
        </w:rPr>
      </w:pPr>
    </w:p>
    <w:tbl>
      <w:tblPr>
        <w:tblW w:w="9571" w:type="dxa"/>
        <w:tblInd w:w="-108" w:type="dxa"/>
        <w:tblLayout w:type="fixed"/>
        <w:tblLook w:val="0000" w:firstRow="0" w:lastRow="0" w:firstColumn="0" w:lastColumn="0" w:noHBand="0" w:noVBand="0"/>
      </w:tblPr>
      <w:tblGrid>
        <w:gridCol w:w="3222"/>
        <w:gridCol w:w="3544"/>
        <w:gridCol w:w="2805"/>
      </w:tblGrid>
      <w:tr w:rsidR="00675EFA" w:rsidRPr="00BE6750" w14:paraId="2AD83FFD" w14:textId="77777777" w:rsidTr="00675EFA">
        <w:trPr>
          <w:trHeight w:val="2529"/>
        </w:trPr>
        <w:tc>
          <w:tcPr>
            <w:tcW w:w="3222" w:type="dxa"/>
          </w:tcPr>
          <w:p w14:paraId="55225146" w14:textId="77777777" w:rsidR="00675EFA" w:rsidRPr="00BE6750" w:rsidRDefault="00675EFA" w:rsidP="00BE6750">
            <w:pPr>
              <w:spacing w:before="120" w:after="120" w:line="312" w:lineRule="auto"/>
              <w:ind w:leftChars="0" w:left="0" w:right="137" w:firstLineChars="0" w:firstLine="0"/>
              <w:jc w:val="center"/>
              <w:rPr>
                <w:rFonts w:ascii="Times New Roman" w:hAnsi="Times New Roman" w:cs="Times New Roman"/>
                <w:sz w:val="26"/>
                <w:szCs w:val="26"/>
                <w:lang w:val="vi-VN"/>
              </w:rPr>
            </w:pPr>
            <w:proofErr w:type="spellStart"/>
            <w:r w:rsidRPr="00BE6750">
              <w:rPr>
                <w:rFonts w:ascii="Times New Roman" w:hAnsi="Times New Roman" w:cs="Times New Roman"/>
                <w:b/>
                <w:sz w:val="26"/>
                <w:szCs w:val="26"/>
              </w:rPr>
              <w:t>Người</w:t>
            </w:r>
            <w:proofErr w:type="spellEnd"/>
            <w:r w:rsidRPr="00BE6750">
              <w:rPr>
                <w:rFonts w:ascii="Times New Roman" w:hAnsi="Times New Roman" w:cs="Times New Roman"/>
                <w:b/>
                <w:sz w:val="26"/>
                <w:szCs w:val="26"/>
              </w:rPr>
              <w:t xml:space="preserve"> </w:t>
            </w:r>
            <w:proofErr w:type="spellStart"/>
            <w:r w:rsidRPr="00BE6750">
              <w:rPr>
                <w:rFonts w:ascii="Times New Roman" w:hAnsi="Times New Roman" w:cs="Times New Roman"/>
                <w:b/>
                <w:sz w:val="26"/>
                <w:szCs w:val="26"/>
              </w:rPr>
              <w:t>hướng</w:t>
            </w:r>
            <w:proofErr w:type="spellEnd"/>
            <w:r w:rsidRPr="00BE6750">
              <w:rPr>
                <w:rFonts w:ascii="Times New Roman" w:hAnsi="Times New Roman" w:cs="Times New Roman"/>
                <w:b/>
                <w:sz w:val="26"/>
                <w:szCs w:val="26"/>
              </w:rPr>
              <w:t xml:space="preserve"> </w:t>
            </w:r>
            <w:proofErr w:type="spellStart"/>
            <w:r w:rsidRPr="00BE6750">
              <w:rPr>
                <w:rFonts w:ascii="Times New Roman" w:hAnsi="Times New Roman" w:cs="Times New Roman"/>
                <w:b/>
                <w:sz w:val="26"/>
                <w:szCs w:val="26"/>
              </w:rPr>
              <w:t>dẫn</w:t>
            </w:r>
            <w:proofErr w:type="spellEnd"/>
            <w:r w:rsidRPr="00BE6750">
              <w:rPr>
                <w:rFonts w:ascii="Times New Roman" w:hAnsi="Times New Roman" w:cs="Times New Roman"/>
                <w:b/>
                <w:sz w:val="26"/>
                <w:szCs w:val="26"/>
                <w:lang w:val="vi-VN"/>
              </w:rPr>
              <w:t xml:space="preserve"> 1</w:t>
            </w:r>
          </w:p>
          <w:p w14:paraId="2094CB2A" w14:textId="77777777" w:rsidR="00675EFA" w:rsidRPr="00BE6750" w:rsidRDefault="00675EFA" w:rsidP="00BE6750">
            <w:pPr>
              <w:spacing w:before="120" w:after="120" w:line="312" w:lineRule="auto"/>
              <w:ind w:left="1" w:right="137" w:hanging="3"/>
              <w:jc w:val="center"/>
              <w:rPr>
                <w:rFonts w:ascii="Times New Roman" w:hAnsi="Times New Roman" w:cs="Times New Roman"/>
                <w:i/>
                <w:sz w:val="26"/>
                <w:szCs w:val="26"/>
              </w:rPr>
            </w:pPr>
            <w:r w:rsidRPr="00BE6750">
              <w:rPr>
                <w:rFonts w:ascii="Times New Roman" w:hAnsi="Times New Roman" w:cs="Times New Roman"/>
                <w:i/>
                <w:sz w:val="26"/>
                <w:szCs w:val="26"/>
              </w:rPr>
              <w:t>(</w:t>
            </w:r>
            <w:proofErr w:type="spellStart"/>
            <w:r w:rsidRPr="00BE6750">
              <w:rPr>
                <w:rFonts w:ascii="Times New Roman" w:hAnsi="Times New Roman" w:cs="Times New Roman"/>
                <w:i/>
                <w:sz w:val="26"/>
                <w:szCs w:val="26"/>
              </w:rPr>
              <w:t>Ký</w:t>
            </w:r>
            <w:proofErr w:type="spellEnd"/>
            <w:r w:rsidRPr="00BE6750">
              <w:rPr>
                <w:rFonts w:ascii="Times New Roman" w:hAnsi="Times New Roman" w:cs="Times New Roman"/>
                <w:i/>
                <w:sz w:val="26"/>
                <w:szCs w:val="26"/>
              </w:rPr>
              <w:t xml:space="preserve"> </w:t>
            </w:r>
            <w:proofErr w:type="spellStart"/>
            <w:r w:rsidRPr="00BE6750">
              <w:rPr>
                <w:rFonts w:ascii="Times New Roman" w:hAnsi="Times New Roman" w:cs="Times New Roman"/>
                <w:i/>
                <w:sz w:val="26"/>
                <w:szCs w:val="26"/>
              </w:rPr>
              <w:t>và</w:t>
            </w:r>
            <w:proofErr w:type="spellEnd"/>
            <w:r w:rsidRPr="00BE6750">
              <w:rPr>
                <w:rFonts w:ascii="Times New Roman" w:hAnsi="Times New Roman" w:cs="Times New Roman"/>
                <w:i/>
                <w:sz w:val="26"/>
                <w:szCs w:val="26"/>
              </w:rPr>
              <w:t xml:space="preserve"> </w:t>
            </w:r>
            <w:proofErr w:type="spellStart"/>
            <w:r w:rsidRPr="00BE6750">
              <w:rPr>
                <w:rFonts w:ascii="Times New Roman" w:hAnsi="Times New Roman" w:cs="Times New Roman"/>
                <w:i/>
                <w:sz w:val="26"/>
                <w:szCs w:val="26"/>
              </w:rPr>
              <w:t>ghi</w:t>
            </w:r>
            <w:proofErr w:type="spellEnd"/>
            <w:r w:rsidRPr="00BE6750">
              <w:rPr>
                <w:rFonts w:ascii="Times New Roman" w:hAnsi="Times New Roman" w:cs="Times New Roman"/>
                <w:i/>
                <w:sz w:val="26"/>
                <w:szCs w:val="26"/>
              </w:rPr>
              <w:t xml:space="preserve"> </w:t>
            </w:r>
            <w:proofErr w:type="spellStart"/>
            <w:r w:rsidRPr="00BE6750">
              <w:rPr>
                <w:rFonts w:ascii="Times New Roman" w:hAnsi="Times New Roman" w:cs="Times New Roman"/>
                <w:i/>
                <w:sz w:val="26"/>
                <w:szCs w:val="26"/>
              </w:rPr>
              <w:t>họ</w:t>
            </w:r>
            <w:proofErr w:type="spellEnd"/>
            <w:r w:rsidRPr="00BE6750">
              <w:rPr>
                <w:rFonts w:ascii="Times New Roman" w:hAnsi="Times New Roman" w:cs="Times New Roman"/>
                <w:i/>
                <w:sz w:val="26"/>
                <w:szCs w:val="26"/>
              </w:rPr>
              <w:t xml:space="preserve"> </w:t>
            </w:r>
            <w:proofErr w:type="spellStart"/>
            <w:r w:rsidRPr="00BE6750">
              <w:rPr>
                <w:rFonts w:ascii="Times New Roman" w:hAnsi="Times New Roman" w:cs="Times New Roman"/>
                <w:i/>
                <w:sz w:val="26"/>
                <w:szCs w:val="26"/>
              </w:rPr>
              <w:t>tên</w:t>
            </w:r>
            <w:proofErr w:type="spellEnd"/>
            <w:r w:rsidRPr="00BE6750">
              <w:rPr>
                <w:rFonts w:ascii="Times New Roman" w:hAnsi="Times New Roman" w:cs="Times New Roman"/>
                <w:i/>
                <w:sz w:val="26"/>
                <w:szCs w:val="26"/>
              </w:rPr>
              <w:t>)</w:t>
            </w:r>
          </w:p>
          <w:p w14:paraId="0742D0D8" w14:textId="77777777" w:rsidR="00675EFA" w:rsidRPr="00BE6750" w:rsidRDefault="00675EFA" w:rsidP="00BE6750">
            <w:pPr>
              <w:spacing w:before="120" w:after="120" w:line="312" w:lineRule="auto"/>
              <w:ind w:left="1" w:hanging="3"/>
              <w:rPr>
                <w:rFonts w:ascii="Times New Roman" w:hAnsi="Times New Roman" w:cs="Times New Roman"/>
                <w:sz w:val="26"/>
                <w:szCs w:val="26"/>
              </w:rPr>
            </w:pPr>
          </w:p>
          <w:p w14:paraId="2952A5FE" w14:textId="77777777" w:rsidR="00675EFA" w:rsidRPr="00BE6750" w:rsidRDefault="00675EFA" w:rsidP="00BE6750">
            <w:pPr>
              <w:spacing w:before="120" w:after="120" w:line="312" w:lineRule="auto"/>
              <w:ind w:left="1" w:hanging="3"/>
              <w:rPr>
                <w:rFonts w:ascii="Times New Roman" w:hAnsi="Times New Roman" w:cs="Times New Roman"/>
                <w:sz w:val="26"/>
                <w:szCs w:val="26"/>
              </w:rPr>
            </w:pPr>
          </w:p>
          <w:p w14:paraId="37DE6047" w14:textId="77777777" w:rsidR="00675EFA" w:rsidRPr="00BE6750" w:rsidRDefault="00675EFA" w:rsidP="00BE6750">
            <w:pPr>
              <w:spacing w:before="120" w:after="120" w:line="312" w:lineRule="auto"/>
              <w:ind w:leftChars="0" w:left="0" w:firstLineChars="0" w:firstLine="0"/>
              <w:rPr>
                <w:rFonts w:ascii="Times New Roman" w:hAnsi="Times New Roman" w:cs="Times New Roman"/>
                <w:i/>
                <w:sz w:val="26"/>
                <w:szCs w:val="26"/>
              </w:rPr>
            </w:pPr>
          </w:p>
          <w:p w14:paraId="45DC69CD" w14:textId="77777777" w:rsidR="00675EFA" w:rsidRPr="00BE6750" w:rsidRDefault="00675EFA" w:rsidP="00BE6750">
            <w:pPr>
              <w:spacing w:before="120" w:after="120" w:line="312" w:lineRule="auto"/>
              <w:ind w:leftChars="0" w:left="0" w:firstLineChars="0" w:firstLine="0"/>
              <w:rPr>
                <w:rFonts w:ascii="Times New Roman" w:hAnsi="Times New Roman" w:cs="Times New Roman"/>
                <w:sz w:val="26"/>
                <w:szCs w:val="26"/>
              </w:rPr>
            </w:pPr>
          </w:p>
          <w:p w14:paraId="69205131" w14:textId="77777777" w:rsidR="00675EFA" w:rsidRPr="00BE6750" w:rsidRDefault="00675EFA" w:rsidP="00BE6750">
            <w:pPr>
              <w:spacing w:before="120" w:after="120" w:line="312" w:lineRule="auto"/>
              <w:ind w:left="1" w:hanging="3"/>
              <w:jc w:val="center"/>
              <w:rPr>
                <w:rFonts w:ascii="Times New Roman" w:hAnsi="Times New Roman" w:cs="Times New Roman"/>
                <w:b/>
                <w:bCs/>
                <w:sz w:val="26"/>
                <w:szCs w:val="26"/>
                <w:lang w:val="vi-VN"/>
              </w:rPr>
            </w:pPr>
            <w:proofErr w:type="spellStart"/>
            <w:r w:rsidRPr="00BE6750">
              <w:rPr>
                <w:rFonts w:ascii="Times New Roman" w:hAnsi="Times New Roman" w:cs="Times New Roman"/>
                <w:b/>
                <w:bCs/>
                <w:sz w:val="26"/>
                <w:szCs w:val="26"/>
              </w:rPr>
              <w:t>Hoàng</w:t>
            </w:r>
            <w:proofErr w:type="spellEnd"/>
            <w:r w:rsidRPr="00BE6750">
              <w:rPr>
                <w:rFonts w:ascii="Times New Roman" w:hAnsi="Times New Roman" w:cs="Times New Roman"/>
                <w:b/>
                <w:bCs/>
                <w:sz w:val="26"/>
                <w:szCs w:val="26"/>
                <w:lang w:val="vi-VN"/>
              </w:rPr>
              <w:t xml:space="preserve"> Công Gia Khánh</w:t>
            </w:r>
          </w:p>
        </w:tc>
        <w:tc>
          <w:tcPr>
            <w:tcW w:w="3544" w:type="dxa"/>
          </w:tcPr>
          <w:p w14:paraId="4DFF9E1B" w14:textId="51A99517" w:rsidR="00675EFA" w:rsidRPr="00BE6750" w:rsidRDefault="00675EFA" w:rsidP="00BE6750">
            <w:pPr>
              <w:spacing w:before="120" w:after="120" w:line="312" w:lineRule="auto"/>
              <w:ind w:leftChars="0" w:left="0" w:right="137" w:firstLineChars="0" w:firstLine="0"/>
              <w:jc w:val="center"/>
              <w:rPr>
                <w:rFonts w:ascii="Times New Roman" w:hAnsi="Times New Roman" w:cs="Times New Roman"/>
                <w:sz w:val="26"/>
                <w:szCs w:val="26"/>
                <w:lang w:val="vi-VN"/>
              </w:rPr>
            </w:pPr>
            <w:proofErr w:type="spellStart"/>
            <w:r w:rsidRPr="00BE6750">
              <w:rPr>
                <w:rFonts w:ascii="Times New Roman" w:hAnsi="Times New Roman" w:cs="Times New Roman"/>
                <w:b/>
                <w:sz w:val="26"/>
                <w:szCs w:val="26"/>
              </w:rPr>
              <w:t>Người</w:t>
            </w:r>
            <w:proofErr w:type="spellEnd"/>
            <w:r w:rsidRPr="00BE6750">
              <w:rPr>
                <w:rFonts w:ascii="Times New Roman" w:hAnsi="Times New Roman" w:cs="Times New Roman"/>
                <w:b/>
                <w:sz w:val="26"/>
                <w:szCs w:val="26"/>
              </w:rPr>
              <w:t xml:space="preserve"> </w:t>
            </w:r>
            <w:proofErr w:type="spellStart"/>
            <w:r w:rsidRPr="00BE6750">
              <w:rPr>
                <w:rFonts w:ascii="Times New Roman" w:hAnsi="Times New Roman" w:cs="Times New Roman"/>
                <w:b/>
                <w:sz w:val="26"/>
                <w:szCs w:val="26"/>
              </w:rPr>
              <w:t>hướng</w:t>
            </w:r>
            <w:proofErr w:type="spellEnd"/>
            <w:r w:rsidRPr="00BE6750">
              <w:rPr>
                <w:rFonts w:ascii="Times New Roman" w:hAnsi="Times New Roman" w:cs="Times New Roman"/>
                <w:b/>
                <w:sz w:val="26"/>
                <w:szCs w:val="26"/>
              </w:rPr>
              <w:t xml:space="preserve"> </w:t>
            </w:r>
            <w:proofErr w:type="spellStart"/>
            <w:r w:rsidRPr="00BE6750">
              <w:rPr>
                <w:rFonts w:ascii="Times New Roman" w:hAnsi="Times New Roman" w:cs="Times New Roman"/>
                <w:b/>
                <w:sz w:val="26"/>
                <w:szCs w:val="26"/>
              </w:rPr>
              <w:t>dẫn</w:t>
            </w:r>
            <w:proofErr w:type="spellEnd"/>
            <w:r w:rsidRPr="00BE6750">
              <w:rPr>
                <w:rFonts w:ascii="Times New Roman" w:hAnsi="Times New Roman" w:cs="Times New Roman"/>
                <w:b/>
                <w:sz w:val="26"/>
                <w:szCs w:val="26"/>
                <w:lang w:val="vi-VN"/>
              </w:rPr>
              <w:t xml:space="preserve"> 2</w:t>
            </w:r>
          </w:p>
          <w:p w14:paraId="626146B3" w14:textId="23A86AC9" w:rsidR="00675EFA" w:rsidRPr="00BE6750" w:rsidRDefault="00D046C5" w:rsidP="00BE6750">
            <w:pPr>
              <w:tabs>
                <w:tab w:val="left" w:pos="1120"/>
              </w:tabs>
              <w:spacing w:before="120" w:after="120" w:line="312" w:lineRule="auto"/>
              <w:ind w:left="1" w:hanging="3"/>
              <w:jc w:val="center"/>
              <w:rPr>
                <w:rFonts w:ascii="Times New Roman" w:hAnsi="Times New Roman" w:cs="Times New Roman"/>
                <w:i/>
                <w:sz w:val="26"/>
                <w:szCs w:val="26"/>
              </w:rPr>
            </w:pPr>
            <w:r>
              <w:rPr>
                <w:rFonts w:ascii="Times New Roman" w:hAnsi="Times New Roman" w:cs="Times New Roman"/>
                <w:i/>
                <w:sz w:val="26"/>
                <w:szCs w:val="26"/>
                <w:lang w:val="vi-VN"/>
              </w:rPr>
              <w:t>(</w:t>
            </w:r>
            <w:proofErr w:type="spellStart"/>
            <w:r w:rsidR="00675EFA" w:rsidRPr="00BE6750">
              <w:rPr>
                <w:rFonts w:ascii="Times New Roman" w:hAnsi="Times New Roman" w:cs="Times New Roman"/>
                <w:i/>
                <w:sz w:val="26"/>
                <w:szCs w:val="26"/>
              </w:rPr>
              <w:t>Ký</w:t>
            </w:r>
            <w:proofErr w:type="spellEnd"/>
            <w:r w:rsidR="00675EFA" w:rsidRPr="00BE6750">
              <w:rPr>
                <w:rFonts w:ascii="Times New Roman" w:hAnsi="Times New Roman" w:cs="Times New Roman"/>
                <w:i/>
                <w:sz w:val="26"/>
                <w:szCs w:val="26"/>
              </w:rPr>
              <w:t xml:space="preserve"> </w:t>
            </w:r>
            <w:proofErr w:type="spellStart"/>
            <w:r w:rsidR="00675EFA" w:rsidRPr="00BE6750">
              <w:rPr>
                <w:rFonts w:ascii="Times New Roman" w:hAnsi="Times New Roman" w:cs="Times New Roman"/>
                <w:i/>
                <w:sz w:val="26"/>
                <w:szCs w:val="26"/>
              </w:rPr>
              <w:t>và</w:t>
            </w:r>
            <w:proofErr w:type="spellEnd"/>
            <w:r w:rsidR="00675EFA" w:rsidRPr="00BE6750">
              <w:rPr>
                <w:rFonts w:ascii="Times New Roman" w:hAnsi="Times New Roman" w:cs="Times New Roman"/>
                <w:i/>
                <w:sz w:val="26"/>
                <w:szCs w:val="26"/>
              </w:rPr>
              <w:t xml:space="preserve"> </w:t>
            </w:r>
            <w:proofErr w:type="spellStart"/>
            <w:r w:rsidR="00675EFA" w:rsidRPr="00BE6750">
              <w:rPr>
                <w:rFonts w:ascii="Times New Roman" w:hAnsi="Times New Roman" w:cs="Times New Roman"/>
                <w:i/>
                <w:sz w:val="26"/>
                <w:szCs w:val="26"/>
              </w:rPr>
              <w:t>ghi</w:t>
            </w:r>
            <w:proofErr w:type="spellEnd"/>
            <w:r w:rsidR="00675EFA" w:rsidRPr="00BE6750">
              <w:rPr>
                <w:rFonts w:ascii="Times New Roman" w:hAnsi="Times New Roman" w:cs="Times New Roman"/>
                <w:i/>
                <w:sz w:val="26"/>
                <w:szCs w:val="26"/>
              </w:rPr>
              <w:t xml:space="preserve"> </w:t>
            </w:r>
            <w:proofErr w:type="spellStart"/>
            <w:r w:rsidR="00675EFA" w:rsidRPr="00BE6750">
              <w:rPr>
                <w:rFonts w:ascii="Times New Roman" w:hAnsi="Times New Roman" w:cs="Times New Roman"/>
                <w:i/>
                <w:sz w:val="26"/>
                <w:szCs w:val="26"/>
              </w:rPr>
              <w:t>họ</w:t>
            </w:r>
            <w:proofErr w:type="spellEnd"/>
            <w:r w:rsidR="00675EFA" w:rsidRPr="00BE6750">
              <w:rPr>
                <w:rFonts w:ascii="Times New Roman" w:hAnsi="Times New Roman" w:cs="Times New Roman"/>
                <w:i/>
                <w:sz w:val="26"/>
                <w:szCs w:val="26"/>
              </w:rPr>
              <w:t xml:space="preserve"> </w:t>
            </w:r>
            <w:proofErr w:type="spellStart"/>
            <w:r w:rsidR="00675EFA" w:rsidRPr="00BE6750">
              <w:rPr>
                <w:rFonts w:ascii="Times New Roman" w:hAnsi="Times New Roman" w:cs="Times New Roman"/>
                <w:i/>
                <w:sz w:val="26"/>
                <w:szCs w:val="26"/>
              </w:rPr>
              <w:t>tên</w:t>
            </w:r>
            <w:proofErr w:type="spellEnd"/>
            <w:r w:rsidR="00675EFA" w:rsidRPr="00BE6750">
              <w:rPr>
                <w:rFonts w:ascii="Times New Roman" w:hAnsi="Times New Roman" w:cs="Times New Roman"/>
                <w:i/>
                <w:sz w:val="26"/>
                <w:szCs w:val="26"/>
                <w:lang w:val="vi-VN"/>
              </w:rPr>
              <w:t>)</w:t>
            </w:r>
          </w:p>
          <w:p w14:paraId="48E23983" w14:textId="77777777" w:rsidR="00675EFA" w:rsidRPr="00BE6750" w:rsidRDefault="00675EFA" w:rsidP="00BE6750">
            <w:pPr>
              <w:spacing w:before="120" w:after="120" w:line="312" w:lineRule="auto"/>
              <w:ind w:left="1" w:hanging="3"/>
              <w:rPr>
                <w:rFonts w:ascii="Times New Roman" w:hAnsi="Times New Roman" w:cs="Times New Roman"/>
                <w:sz w:val="26"/>
                <w:szCs w:val="26"/>
                <w:lang w:val="vi-VN"/>
              </w:rPr>
            </w:pPr>
          </w:p>
          <w:p w14:paraId="29C5336D" w14:textId="77777777" w:rsidR="00675EFA" w:rsidRPr="00BE6750" w:rsidRDefault="00675EFA" w:rsidP="00BE6750">
            <w:pPr>
              <w:spacing w:before="120" w:after="120" w:line="312" w:lineRule="auto"/>
              <w:ind w:left="1" w:hanging="3"/>
              <w:rPr>
                <w:rFonts w:ascii="Times New Roman" w:hAnsi="Times New Roman" w:cs="Times New Roman"/>
                <w:sz w:val="26"/>
                <w:szCs w:val="26"/>
                <w:lang w:val="vi-VN"/>
              </w:rPr>
            </w:pPr>
          </w:p>
          <w:p w14:paraId="0D52B877" w14:textId="77777777" w:rsidR="00675EFA" w:rsidRPr="00BE6750" w:rsidRDefault="00675EFA" w:rsidP="00BE6750">
            <w:pPr>
              <w:spacing w:before="120" w:after="120" w:line="312" w:lineRule="auto"/>
              <w:ind w:left="1" w:hanging="3"/>
              <w:rPr>
                <w:rFonts w:ascii="Times New Roman" w:hAnsi="Times New Roman" w:cs="Times New Roman"/>
                <w:sz w:val="26"/>
                <w:szCs w:val="26"/>
                <w:lang w:val="vi-VN"/>
              </w:rPr>
            </w:pPr>
          </w:p>
          <w:p w14:paraId="4B73A5DC" w14:textId="77777777" w:rsidR="00675EFA" w:rsidRPr="00BE6750" w:rsidRDefault="00675EFA" w:rsidP="00BE6750">
            <w:pPr>
              <w:spacing w:before="120" w:after="120" w:line="312" w:lineRule="auto"/>
              <w:ind w:leftChars="0" w:left="0" w:firstLineChars="0" w:firstLine="0"/>
              <w:rPr>
                <w:rFonts w:ascii="Times New Roman" w:hAnsi="Times New Roman" w:cs="Times New Roman"/>
                <w:i/>
                <w:sz w:val="26"/>
                <w:szCs w:val="26"/>
              </w:rPr>
            </w:pPr>
          </w:p>
          <w:p w14:paraId="2EAEC144" w14:textId="77777777" w:rsidR="00675EFA" w:rsidRPr="00BE6750" w:rsidRDefault="00675EFA" w:rsidP="00BE6750">
            <w:pPr>
              <w:tabs>
                <w:tab w:val="left" w:pos="996"/>
              </w:tabs>
              <w:spacing w:before="120" w:after="120" w:line="312" w:lineRule="auto"/>
              <w:ind w:left="1" w:hanging="3"/>
              <w:rPr>
                <w:rFonts w:ascii="Times New Roman" w:hAnsi="Times New Roman" w:cs="Times New Roman"/>
                <w:b/>
                <w:bCs/>
                <w:sz w:val="26"/>
                <w:szCs w:val="26"/>
                <w:lang w:val="vi-VN"/>
              </w:rPr>
            </w:pPr>
            <w:r w:rsidRPr="00BE6750">
              <w:rPr>
                <w:rFonts w:ascii="Times New Roman" w:hAnsi="Times New Roman" w:cs="Times New Roman"/>
                <w:sz w:val="26"/>
                <w:szCs w:val="26"/>
                <w:lang w:val="vi-VN"/>
              </w:rPr>
              <w:tab/>
              <w:t xml:space="preserve">       </w:t>
            </w:r>
            <w:r w:rsidRPr="00BE6750">
              <w:rPr>
                <w:rFonts w:ascii="Times New Roman" w:hAnsi="Times New Roman" w:cs="Times New Roman"/>
                <w:b/>
                <w:bCs/>
                <w:sz w:val="26"/>
                <w:szCs w:val="26"/>
                <w:lang w:val="vi-VN"/>
              </w:rPr>
              <w:t>Phạm Thị Thanh Xuân</w:t>
            </w:r>
          </w:p>
        </w:tc>
        <w:tc>
          <w:tcPr>
            <w:tcW w:w="2805" w:type="dxa"/>
          </w:tcPr>
          <w:p w14:paraId="30821D5B" w14:textId="77777777" w:rsidR="00675EFA" w:rsidRPr="00BE6750" w:rsidRDefault="00675EFA" w:rsidP="00BE6750">
            <w:pPr>
              <w:spacing w:before="120" w:after="120" w:line="312" w:lineRule="auto"/>
              <w:ind w:leftChars="0" w:left="0" w:right="137" w:firstLineChars="0" w:firstLine="0"/>
              <w:jc w:val="center"/>
              <w:rPr>
                <w:rFonts w:ascii="Times New Roman" w:hAnsi="Times New Roman" w:cs="Times New Roman"/>
                <w:sz w:val="26"/>
                <w:szCs w:val="26"/>
              </w:rPr>
            </w:pPr>
            <w:proofErr w:type="spellStart"/>
            <w:r w:rsidRPr="00BE6750">
              <w:rPr>
                <w:rFonts w:ascii="Times New Roman" w:hAnsi="Times New Roman" w:cs="Times New Roman"/>
                <w:b/>
                <w:sz w:val="26"/>
                <w:szCs w:val="26"/>
              </w:rPr>
              <w:t>Nghiên</w:t>
            </w:r>
            <w:proofErr w:type="spellEnd"/>
            <w:r w:rsidRPr="00BE6750">
              <w:rPr>
                <w:rFonts w:ascii="Times New Roman" w:hAnsi="Times New Roman" w:cs="Times New Roman"/>
                <w:b/>
                <w:sz w:val="26"/>
                <w:szCs w:val="26"/>
              </w:rPr>
              <w:t xml:space="preserve"> </w:t>
            </w:r>
            <w:proofErr w:type="spellStart"/>
            <w:r w:rsidRPr="00BE6750">
              <w:rPr>
                <w:rFonts w:ascii="Times New Roman" w:hAnsi="Times New Roman" w:cs="Times New Roman"/>
                <w:b/>
                <w:sz w:val="26"/>
                <w:szCs w:val="26"/>
              </w:rPr>
              <w:t>cứu</w:t>
            </w:r>
            <w:proofErr w:type="spellEnd"/>
            <w:r w:rsidRPr="00BE6750">
              <w:rPr>
                <w:rFonts w:ascii="Times New Roman" w:hAnsi="Times New Roman" w:cs="Times New Roman"/>
                <w:b/>
                <w:sz w:val="26"/>
                <w:szCs w:val="26"/>
              </w:rPr>
              <w:t xml:space="preserve"> </w:t>
            </w:r>
            <w:proofErr w:type="spellStart"/>
            <w:r w:rsidRPr="00BE6750">
              <w:rPr>
                <w:rFonts w:ascii="Times New Roman" w:hAnsi="Times New Roman" w:cs="Times New Roman"/>
                <w:b/>
                <w:sz w:val="26"/>
                <w:szCs w:val="26"/>
              </w:rPr>
              <w:t>sinh</w:t>
            </w:r>
            <w:proofErr w:type="spellEnd"/>
          </w:p>
          <w:p w14:paraId="0AACFD06" w14:textId="77777777" w:rsidR="00675EFA" w:rsidRPr="00BE6750" w:rsidRDefault="00675EFA" w:rsidP="00BE6750">
            <w:pPr>
              <w:spacing w:before="120" w:after="120" w:line="312" w:lineRule="auto"/>
              <w:ind w:left="1" w:right="137" w:hanging="3"/>
              <w:jc w:val="center"/>
              <w:rPr>
                <w:rFonts w:ascii="Times New Roman" w:hAnsi="Times New Roman" w:cs="Times New Roman"/>
                <w:i/>
                <w:sz w:val="26"/>
                <w:szCs w:val="26"/>
              </w:rPr>
            </w:pPr>
            <w:r w:rsidRPr="00BE6750">
              <w:rPr>
                <w:rFonts w:ascii="Times New Roman" w:hAnsi="Times New Roman" w:cs="Times New Roman"/>
                <w:i/>
                <w:sz w:val="26"/>
                <w:szCs w:val="26"/>
              </w:rPr>
              <w:t>(</w:t>
            </w:r>
            <w:proofErr w:type="spellStart"/>
            <w:r w:rsidRPr="00BE6750">
              <w:rPr>
                <w:rFonts w:ascii="Times New Roman" w:hAnsi="Times New Roman" w:cs="Times New Roman"/>
                <w:i/>
                <w:sz w:val="26"/>
                <w:szCs w:val="26"/>
              </w:rPr>
              <w:t>Ký</w:t>
            </w:r>
            <w:proofErr w:type="spellEnd"/>
            <w:r w:rsidRPr="00BE6750">
              <w:rPr>
                <w:rFonts w:ascii="Times New Roman" w:hAnsi="Times New Roman" w:cs="Times New Roman"/>
                <w:i/>
                <w:sz w:val="26"/>
                <w:szCs w:val="26"/>
              </w:rPr>
              <w:t xml:space="preserve"> </w:t>
            </w:r>
            <w:proofErr w:type="spellStart"/>
            <w:r w:rsidRPr="00BE6750">
              <w:rPr>
                <w:rFonts w:ascii="Times New Roman" w:hAnsi="Times New Roman" w:cs="Times New Roman"/>
                <w:i/>
                <w:sz w:val="26"/>
                <w:szCs w:val="26"/>
              </w:rPr>
              <w:t>và</w:t>
            </w:r>
            <w:proofErr w:type="spellEnd"/>
            <w:r w:rsidRPr="00BE6750">
              <w:rPr>
                <w:rFonts w:ascii="Times New Roman" w:hAnsi="Times New Roman" w:cs="Times New Roman"/>
                <w:i/>
                <w:sz w:val="26"/>
                <w:szCs w:val="26"/>
              </w:rPr>
              <w:t xml:space="preserve"> </w:t>
            </w:r>
            <w:proofErr w:type="spellStart"/>
            <w:r w:rsidRPr="00BE6750">
              <w:rPr>
                <w:rFonts w:ascii="Times New Roman" w:hAnsi="Times New Roman" w:cs="Times New Roman"/>
                <w:i/>
                <w:sz w:val="26"/>
                <w:szCs w:val="26"/>
              </w:rPr>
              <w:t>ghi</w:t>
            </w:r>
            <w:proofErr w:type="spellEnd"/>
            <w:r w:rsidRPr="00BE6750">
              <w:rPr>
                <w:rFonts w:ascii="Times New Roman" w:hAnsi="Times New Roman" w:cs="Times New Roman"/>
                <w:i/>
                <w:sz w:val="26"/>
                <w:szCs w:val="26"/>
              </w:rPr>
              <w:t xml:space="preserve"> </w:t>
            </w:r>
            <w:proofErr w:type="spellStart"/>
            <w:r w:rsidRPr="00BE6750">
              <w:rPr>
                <w:rFonts w:ascii="Times New Roman" w:hAnsi="Times New Roman" w:cs="Times New Roman"/>
                <w:i/>
                <w:sz w:val="26"/>
                <w:szCs w:val="26"/>
              </w:rPr>
              <w:t>họ</w:t>
            </w:r>
            <w:proofErr w:type="spellEnd"/>
            <w:r w:rsidRPr="00BE6750">
              <w:rPr>
                <w:rFonts w:ascii="Times New Roman" w:hAnsi="Times New Roman" w:cs="Times New Roman"/>
                <w:i/>
                <w:sz w:val="26"/>
                <w:szCs w:val="26"/>
              </w:rPr>
              <w:t xml:space="preserve"> </w:t>
            </w:r>
            <w:proofErr w:type="spellStart"/>
            <w:r w:rsidRPr="00BE6750">
              <w:rPr>
                <w:rFonts w:ascii="Times New Roman" w:hAnsi="Times New Roman" w:cs="Times New Roman"/>
                <w:i/>
                <w:sz w:val="26"/>
                <w:szCs w:val="26"/>
              </w:rPr>
              <w:t>tên</w:t>
            </w:r>
            <w:proofErr w:type="spellEnd"/>
            <w:r w:rsidRPr="00BE6750">
              <w:rPr>
                <w:rFonts w:ascii="Times New Roman" w:hAnsi="Times New Roman" w:cs="Times New Roman"/>
                <w:i/>
                <w:sz w:val="26"/>
                <w:szCs w:val="26"/>
              </w:rPr>
              <w:t>)</w:t>
            </w:r>
          </w:p>
          <w:p w14:paraId="2973798E" w14:textId="77777777" w:rsidR="00675EFA" w:rsidRPr="00BE6750" w:rsidRDefault="00675EFA" w:rsidP="00BE6750">
            <w:pPr>
              <w:spacing w:before="120" w:after="120" w:line="312" w:lineRule="auto"/>
              <w:ind w:left="1" w:right="137" w:hanging="3"/>
              <w:jc w:val="center"/>
              <w:rPr>
                <w:rFonts w:ascii="Times New Roman" w:hAnsi="Times New Roman" w:cs="Times New Roman"/>
                <w:i/>
                <w:sz w:val="26"/>
                <w:szCs w:val="26"/>
              </w:rPr>
            </w:pPr>
          </w:p>
          <w:p w14:paraId="4E0AF86A" w14:textId="77777777" w:rsidR="00675EFA" w:rsidRPr="00BE6750" w:rsidRDefault="00675EFA" w:rsidP="00BE6750">
            <w:pPr>
              <w:spacing w:before="120" w:after="120" w:line="312" w:lineRule="auto"/>
              <w:ind w:left="1" w:right="137" w:hanging="3"/>
              <w:jc w:val="center"/>
              <w:rPr>
                <w:rFonts w:ascii="Times New Roman" w:hAnsi="Times New Roman" w:cs="Times New Roman"/>
                <w:i/>
                <w:sz w:val="26"/>
                <w:szCs w:val="26"/>
              </w:rPr>
            </w:pPr>
          </w:p>
          <w:p w14:paraId="15E8E911" w14:textId="77777777" w:rsidR="00675EFA" w:rsidRPr="00BE6750" w:rsidRDefault="00675EFA" w:rsidP="00BE6750">
            <w:pPr>
              <w:spacing w:before="120" w:after="120" w:line="312" w:lineRule="auto"/>
              <w:ind w:left="1" w:right="137" w:hanging="3"/>
              <w:jc w:val="center"/>
              <w:rPr>
                <w:rFonts w:ascii="Times New Roman" w:hAnsi="Times New Roman" w:cs="Times New Roman"/>
                <w:i/>
                <w:sz w:val="26"/>
                <w:szCs w:val="26"/>
              </w:rPr>
            </w:pPr>
          </w:p>
          <w:p w14:paraId="2341F849" w14:textId="77777777" w:rsidR="00675EFA" w:rsidRPr="00BE6750" w:rsidRDefault="00675EFA" w:rsidP="00BE6750">
            <w:pPr>
              <w:spacing w:before="120" w:after="120" w:line="312" w:lineRule="auto"/>
              <w:ind w:left="1" w:right="137" w:hanging="3"/>
              <w:jc w:val="center"/>
              <w:rPr>
                <w:rFonts w:ascii="Times New Roman" w:hAnsi="Times New Roman" w:cs="Times New Roman"/>
                <w:i/>
                <w:sz w:val="26"/>
                <w:szCs w:val="26"/>
              </w:rPr>
            </w:pPr>
          </w:p>
          <w:p w14:paraId="6209BE59" w14:textId="77777777" w:rsidR="00675EFA" w:rsidRPr="00BE6750" w:rsidRDefault="00675EFA" w:rsidP="00BE6750">
            <w:pPr>
              <w:spacing w:before="120" w:after="120" w:line="312" w:lineRule="auto"/>
              <w:ind w:leftChars="0" w:left="0" w:right="137" w:firstLineChars="0" w:firstLine="0"/>
              <w:jc w:val="center"/>
              <w:rPr>
                <w:rFonts w:ascii="Times New Roman" w:hAnsi="Times New Roman" w:cs="Times New Roman"/>
                <w:sz w:val="26"/>
                <w:szCs w:val="26"/>
              </w:rPr>
            </w:pPr>
            <w:r w:rsidRPr="00BE6750">
              <w:rPr>
                <w:rFonts w:ascii="Times New Roman" w:hAnsi="Times New Roman" w:cs="Times New Roman"/>
                <w:b/>
                <w:bCs/>
                <w:sz w:val="26"/>
                <w:szCs w:val="26"/>
              </w:rPr>
              <w:t>Lê</w:t>
            </w:r>
            <w:r w:rsidRPr="00BE6750">
              <w:rPr>
                <w:rFonts w:ascii="Times New Roman" w:hAnsi="Times New Roman" w:cs="Times New Roman"/>
                <w:b/>
                <w:bCs/>
                <w:sz w:val="26"/>
                <w:szCs w:val="26"/>
                <w:lang w:val="vi-VN"/>
              </w:rPr>
              <w:t xml:space="preserve"> Ngọc Quỳnh Anh</w:t>
            </w:r>
          </w:p>
        </w:tc>
      </w:tr>
    </w:tbl>
    <w:tbl>
      <w:tblPr>
        <w:tblStyle w:val="a"/>
        <w:tblW w:w="9657" w:type="dxa"/>
        <w:tblInd w:w="-194" w:type="dxa"/>
        <w:tblLayout w:type="fixed"/>
        <w:tblLook w:val="0000" w:firstRow="0" w:lastRow="0" w:firstColumn="0" w:lastColumn="0" w:noHBand="0" w:noVBand="0"/>
      </w:tblPr>
      <w:tblGrid>
        <w:gridCol w:w="9657"/>
      </w:tblGrid>
      <w:tr w:rsidR="002E1A53" w:rsidRPr="00BE6750" w14:paraId="51D156C8" w14:textId="77777777">
        <w:tc>
          <w:tcPr>
            <w:tcW w:w="9657" w:type="dxa"/>
          </w:tcPr>
          <w:p w14:paraId="23896A88" w14:textId="77777777" w:rsidR="00675EFA" w:rsidRPr="00BE6750" w:rsidRDefault="00675EFA" w:rsidP="00BE6750">
            <w:pPr>
              <w:spacing w:before="120" w:after="120" w:line="312" w:lineRule="auto"/>
              <w:ind w:left="1" w:hanging="3"/>
              <w:jc w:val="center"/>
              <w:rPr>
                <w:rFonts w:ascii="Times New Roman" w:eastAsia="Times New Roman" w:hAnsi="Times New Roman" w:cs="Times New Roman"/>
                <w:b/>
                <w:sz w:val="26"/>
                <w:szCs w:val="26"/>
              </w:rPr>
            </w:pPr>
          </w:p>
          <w:p w14:paraId="7B7F9AA1" w14:textId="2FE9485A" w:rsidR="002E1A53" w:rsidRPr="00BE6750" w:rsidRDefault="00000000" w:rsidP="00BE6750">
            <w:pPr>
              <w:spacing w:before="120" w:after="120" w:line="312" w:lineRule="auto"/>
              <w:ind w:left="1" w:hanging="3"/>
              <w:jc w:val="center"/>
              <w:rPr>
                <w:rFonts w:ascii="Times New Roman" w:eastAsia="Times New Roman" w:hAnsi="Times New Roman" w:cs="Times New Roman"/>
                <w:sz w:val="26"/>
                <w:szCs w:val="26"/>
              </w:rPr>
            </w:pPr>
            <w:r w:rsidRPr="00BE6750">
              <w:rPr>
                <w:rFonts w:ascii="Times New Roman" w:eastAsia="Times New Roman" w:hAnsi="Times New Roman" w:cs="Times New Roman"/>
                <w:b/>
                <w:sz w:val="26"/>
                <w:szCs w:val="26"/>
              </w:rPr>
              <w:t>XÁC NHẬN CỦA CƠ SỞ ĐÀO TẠO</w:t>
            </w:r>
          </w:p>
          <w:p w14:paraId="695C1982" w14:textId="77777777" w:rsidR="002E1A53" w:rsidRPr="00BE6750" w:rsidRDefault="00000000" w:rsidP="00BE6750">
            <w:pPr>
              <w:spacing w:before="120" w:after="120" w:line="312" w:lineRule="auto"/>
              <w:ind w:left="1" w:hanging="3"/>
              <w:jc w:val="center"/>
              <w:rPr>
                <w:rFonts w:ascii="Times New Roman" w:eastAsia="Times New Roman" w:hAnsi="Times New Roman" w:cs="Times New Roman"/>
                <w:sz w:val="26"/>
                <w:szCs w:val="26"/>
              </w:rPr>
            </w:pPr>
            <w:r w:rsidRPr="00BE6750">
              <w:rPr>
                <w:rFonts w:ascii="Times New Roman" w:eastAsia="Times New Roman" w:hAnsi="Times New Roman" w:cs="Times New Roman"/>
                <w:b/>
                <w:sz w:val="26"/>
                <w:szCs w:val="26"/>
              </w:rPr>
              <w:t>HIỆU TRƯỞNG</w:t>
            </w:r>
          </w:p>
          <w:p w14:paraId="0D4B7635" w14:textId="77777777" w:rsidR="002E1A53" w:rsidRPr="00BE6750" w:rsidRDefault="002E1A53" w:rsidP="00BE6750">
            <w:pPr>
              <w:spacing w:before="120" w:after="120" w:line="312" w:lineRule="auto"/>
              <w:ind w:left="1" w:hanging="3"/>
              <w:jc w:val="center"/>
              <w:rPr>
                <w:rFonts w:ascii="Times New Roman" w:eastAsia="Times New Roman" w:hAnsi="Times New Roman" w:cs="Times New Roman"/>
                <w:sz w:val="26"/>
                <w:szCs w:val="26"/>
              </w:rPr>
            </w:pPr>
          </w:p>
          <w:p w14:paraId="23028AE6" w14:textId="77777777" w:rsidR="002E1A53" w:rsidRPr="00BE6750" w:rsidRDefault="002E1A53" w:rsidP="00BE6750">
            <w:pPr>
              <w:spacing w:before="120" w:after="120" w:line="312" w:lineRule="auto"/>
              <w:ind w:left="1" w:hanging="3"/>
              <w:jc w:val="center"/>
              <w:rPr>
                <w:rFonts w:ascii="Times New Roman" w:eastAsia="Times New Roman" w:hAnsi="Times New Roman" w:cs="Times New Roman"/>
                <w:sz w:val="26"/>
                <w:szCs w:val="26"/>
              </w:rPr>
            </w:pPr>
          </w:p>
          <w:p w14:paraId="33976383" w14:textId="77777777" w:rsidR="002E1A53" w:rsidRPr="00BE6750" w:rsidRDefault="002E1A53" w:rsidP="00BE6750">
            <w:pPr>
              <w:spacing w:before="120" w:after="120" w:line="312" w:lineRule="auto"/>
              <w:ind w:left="1" w:hanging="3"/>
              <w:jc w:val="center"/>
              <w:rPr>
                <w:rFonts w:ascii="Times New Roman" w:eastAsia="Times New Roman" w:hAnsi="Times New Roman" w:cs="Times New Roman"/>
                <w:sz w:val="26"/>
                <w:szCs w:val="26"/>
              </w:rPr>
            </w:pPr>
          </w:p>
        </w:tc>
      </w:tr>
    </w:tbl>
    <w:p w14:paraId="66FB075A" w14:textId="77777777" w:rsidR="002E1A53" w:rsidRPr="00BE6750" w:rsidRDefault="002E1A53" w:rsidP="00BE6750">
      <w:pPr>
        <w:spacing w:before="120" w:after="120" w:line="312" w:lineRule="auto"/>
        <w:ind w:left="1" w:hanging="3"/>
        <w:jc w:val="both"/>
        <w:rPr>
          <w:rFonts w:ascii="Times New Roman" w:eastAsia="Times New Roman" w:hAnsi="Times New Roman" w:cs="Times New Roman"/>
          <w:sz w:val="26"/>
          <w:szCs w:val="26"/>
        </w:rPr>
      </w:pPr>
    </w:p>
    <w:sectPr w:rsidR="002E1A53" w:rsidRPr="00BE6750">
      <w:headerReference w:type="even" r:id="rId8"/>
      <w:headerReference w:type="default" r:id="rId9"/>
      <w:footerReference w:type="even" r:id="rId10"/>
      <w:footerReference w:type="default" r:id="rId11"/>
      <w:headerReference w:type="first" r:id="rId12"/>
      <w:footerReference w:type="first" r:id="rId13"/>
      <w:pgSz w:w="11907" w:h="1683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2534B" w14:textId="77777777" w:rsidR="000544C1" w:rsidRDefault="000544C1">
      <w:pPr>
        <w:spacing w:after="0" w:line="240" w:lineRule="auto"/>
        <w:ind w:left="0" w:hanging="2"/>
      </w:pPr>
      <w:r>
        <w:separator/>
      </w:r>
    </w:p>
  </w:endnote>
  <w:endnote w:type="continuationSeparator" w:id="0">
    <w:p w14:paraId="0ACC0E75" w14:textId="77777777" w:rsidR="000544C1" w:rsidRDefault="000544C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panose1 w:val="020B0604020202020204"/>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47D1" w14:textId="77777777" w:rsidR="002E1A53" w:rsidRDefault="002E1A53">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F176" w14:textId="77777777" w:rsidR="002E1A53" w:rsidRDefault="002E1A53">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AA65D" w14:textId="77777777" w:rsidR="002E1A53" w:rsidRDefault="002E1A53">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B3A47" w14:textId="77777777" w:rsidR="000544C1" w:rsidRDefault="000544C1">
      <w:pPr>
        <w:spacing w:after="0" w:line="240" w:lineRule="auto"/>
        <w:ind w:left="0" w:hanging="2"/>
      </w:pPr>
      <w:r>
        <w:separator/>
      </w:r>
    </w:p>
  </w:footnote>
  <w:footnote w:type="continuationSeparator" w:id="0">
    <w:p w14:paraId="1CB52573" w14:textId="77777777" w:rsidR="000544C1" w:rsidRDefault="000544C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59BC" w14:textId="77777777" w:rsidR="002E1A53" w:rsidRDefault="002E1A53">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C2BCD" w14:textId="77777777" w:rsidR="002E1A53" w:rsidRDefault="00000000">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SĐH-TS-11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058D" w14:textId="77777777" w:rsidR="002E1A53" w:rsidRDefault="002E1A53">
    <w:pPr>
      <w:pBdr>
        <w:top w:val="nil"/>
        <w:left w:val="nil"/>
        <w:bottom w:val="nil"/>
        <w:right w:val="nil"/>
        <w:between w:val="nil"/>
      </w:pBdr>
      <w:tabs>
        <w:tab w:val="center" w:pos="4513"/>
        <w:tab w:val="right" w:pos="902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57D97"/>
    <w:multiLevelType w:val="multilevel"/>
    <w:tmpl w:val="9DCAD27A"/>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11083F"/>
    <w:multiLevelType w:val="multilevel"/>
    <w:tmpl w:val="F8E4E444"/>
    <w:lvl w:ilvl="0">
      <w:start w:val="2"/>
      <w:numFmt w:val="decimal"/>
      <w:lvlText w:val="%1."/>
      <w:lvlJc w:val="left"/>
      <w:pPr>
        <w:ind w:left="360" w:hanging="360"/>
      </w:pPr>
      <w:rPr>
        <w:rFonts w:hint="default"/>
      </w:rPr>
    </w:lvl>
    <w:lvl w:ilvl="1">
      <w:start w:val="1"/>
      <w:numFmt w:val="decimal"/>
      <w:lvlText w:val="%1.%2."/>
      <w:lvlJc w:val="left"/>
      <w:pPr>
        <w:ind w:left="718" w:hanging="7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num w:numId="1" w16cid:durableId="1705402845">
    <w:abstractNumId w:val="0"/>
  </w:num>
  <w:num w:numId="2" w16cid:durableId="1365522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A53"/>
    <w:rsid w:val="0002609B"/>
    <w:rsid w:val="000544C1"/>
    <w:rsid w:val="000B570C"/>
    <w:rsid w:val="00176023"/>
    <w:rsid w:val="002E1A53"/>
    <w:rsid w:val="005E3265"/>
    <w:rsid w:val="00675EFA"/>
    <w:rsid w:val="006E44B1"/>
    <w:rsid w:val="00753074"/>
    <w:rsid w:val="008C0E73"/>
    <w:rsid w:val="00A90F6C"/>
    <w:rsid w:val="00AA6294"/>
    <w:rsid w:val="00AD2D16"/>
    <w:rsid w:val="00BE6750"/>
    <w:rsid w:val="00C4737E"/>
    <w:rsid w:val="00D046C5"/>
    <w:rsid w:val="00D64B3C"/>
    <w:rsid w:val="00E7113C"/>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520E3C05"/>
  <w15:docId w15:val="{1B4574CE-AE1C-304A-BDB0-B172B8044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aliases w:val="bullet 1,bullet,List Paragraph1,Thang2,List Paragraph11,List Paragraph12,List Paragraph2,List Paragraph111,VNA - List Paragraph,1.,Table Sequence,Colorful List - Accent 11,Hình"/>
    <w:basedOn w:val="Normal"/>
    <w:link w:val="ListParagraphChar"/>
    <w:uiPriority w:val="34"/>
    <w:qFormat/>
    <w:rsid w:val="00D64B3C"/>
    <w:pPr>
      <w:suppressAutoHyphens w:val="0"/>
      <w:spacing w:after="0" w:line="240" w:lineRule="auto"/>
      <w:ind w:leftChars="0" w:left="720" w:firstLineChars="0" w:firstLine="0"/>
      <w:contextualSpacing/>
      <w:textDirection w:val="lrTb"/>
      <w:textAlignment w:val="auto"/>
      <w:outlineLvl w:val="9"/>
    </w:pPr>
    <w:rPr>
      <w:rFonts w:ascii=".VnTime" w:eastAsia="Times New Roman" w:hAnsi=".VnTime" w:cs="Times New Roman"/>
      <w:position w:val="0"/>
      <w:sz w:val="26"/>
      <w:szCs w:val="24"/>
    </w:rPr>
  </w:style>
  <w:style w:type="character" w:customStyle="1" w:styleId="ListParagraphChar">
    <w:name w:val="List Paragraph Char"/>
    <w:aliases w:val="bullet 1 Char,bullet Char,List Paragraph1 Char,Thang2 Char,List Paragraph11 Char,List Paragraph12 Char,List Paragraph2 Char,List Paragraph111 Char,VNA - List Paragraph Char,1. Char,Table Sequence Char,Colorful List - Accent 11 Char"/>
    <w:link w:val="ListParagraph"/>
    <w:uiPriority w:val="34"/>
    <w:locked/>
    <w:rsid w:val="00D64B3C"/>
    <w:rPr>
      <w:rFonts w:ascii=".VnTime" w:eastAsia="Times New Roman" w:hAnsi=".VnTime" w:cs="Times New Roman"/>
      <w:sz w:val="26"/>
      <w:szCs w:val="24"/>
    </w:rPr>
  </w:style>
  <w:style w:type="character" w:styleId="CommentReference">
    <w:name w:val="annotation reference"/>
    <w:uiPriority w:val="99"/>
    <w:rsid w:val="00D64B3C"/>
    <w:rPr>
      <w:sz w:val="16"/>
      <w:szCs w:val="16"/>
    </w:rPr>
  </w:style>
  <w:style w:type="paragraph" w:styleId="CommentText">
    <w:name w:val="annotation text"/>
    <w:basedOn w:val="Normal"/>
    <w:link w:val="CommentTextChar"/>
    <w:uiPriority w:val="99"/>
    <w:rsid w:val="00D64B3C"/>
    <w:pPr>
      <w:suppressAutoHyphens w:val="0"/>
      <w:spacing w:after="200" w:line="276" w:lineRule="auto"/>
      <w:ind w:leftChars="0" w:left="0" w:firstLineChars="0" w:firstLine="0"/>
      <w:textDirection w:val="lrTb"/>
      <w:textAlignment w:val="auto"/>
      <w:outlineLvl w:val="9"/>
    </w:pPr>
    <w:rPr>
      <w:rFonts w:eastAsia="Times New Roman" w:cs="Times New Roman"/>
      <w:position w:val="0"/>
      <w:sz w:val="20"/>
      <w:szCs w:val="20"/>
      <w:lang w:val="x-none" w:eastAsia="x-none"/>
    </w:rPr>
  </w:style>
  <w:style w:type="character" w:customStyle="1" w:styleId="CommentTextChar">
    <w:name w:val="Comment Text Char"/>
    <w:basedOn w:val="DefaultParagraphFont"/>
    <w:link w:val="CommentText"/>
    <w:uiPriority w:val="99"/>
    <w:rsid w:val="00D64B3C"/>
    <w:rPr>
      <w:rFonts w:eastAsia="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8928</Words>
  <Characters>38037</Characters>
  <Application>Microsoft Office Word</Application>
  <DocSecurity>0</DocSecurity>
  <Lines>1267</Lines>
  <Paragraphs>999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Microsoft Office User</cp:lastModifiedBy>
  <cp:revision>2</cp:revision>
  <cp:lastPrinted>2024-10-19T09:45:00Z</cp:lastPrinted>
  <dcterms:created xsi:type="dcterms:W3CDTF">2024-10-20T09:01:00Z</dcterms:created>
  <dcterms:modified xsi:type="dcterms:W3CDTF">2024-10-20T09:01:00Z</dcterms:modified>
</cp:coreProperties>
</file>